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89C42D">
      <w:pPr>
        <w:keepNext w:val="0"/>
        <w:keepLines w:val="0"/>
        <w:pageBreakBefore w:val="0"/>
        <w:widowControl/>
        <w:kinsoku/>
        <w:wordWrap/>
        <w:overflowPunct/>
        <w:topLinePunct w:val="0"/>
        <w:autoSpaceDE/>
        <w:autoSpaceDN/>
        <w:bidi w:val="0"/>
        <w:adjustRightInd w:val="0"/>
        <w:snapToGrid w:val="0"/>
        <w:spacing w:after="0"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中共</w:t>
      </w:r>
      <w:r>
        <w:rPr>
          <w:rFonts w:hint="eastAsia" w:ascii="方正小标宋简体" w:hAnsi="方正小标宋简体" w:eastAsia="方正小标宋简体" w:cs="方正小标宋简体"/>
          <w:sz w:val="44"/>
          <w:szCs w:val="44"/>
        </w:rPr>
        <w:t>汤阴县</w:t>
      </w:r>
      <w:r>
        <w:rPr>
          <w:rFonts w:hint="eastAsia" w:ascii="方正小标宋简体" w:hAnsi="方正小标宋简体" w:eastAsia="方正小标宋简体" w:cs="方正小标宋简体"/>
          <w:sz w:val="44"/>
          <w:szCs w:val="44"/>
          <w:lang w:eastAsia="zh-CN"/>
        </w:rPr>
        <w:t>市场</w:t>
      </w:r>
      <w:r>
        <w:rPr>
          <w:rFonts w:hint="eastAsia" w:ascii="方正小标宋简体" w:hAnsi="方正小标宋简体" w:eastAsia="方正小标宋简体" w:cs="方正小标宋简体"/>
          <w:sz w:val="44"/>
          <w:szCs w:val="44"/>
        </w:rPr>
        <w:t>监督管理局党组</w:t>
      </w:r>
    </w:p>
    <w:p w14:paraId="0DB0A708">
      <w:pPr>
        <w:keepNext w:val="0"/>
        <w:keepLines w:val="0"/>
        <w:pageBreakBefore w:val="0"/>
        <w:widowControl/>
        <w:kinsoku/>
        <w:wordWrap/>
        <w:overflowPunct/>
        <w:topLinePunct w:val="0"/>
        <w:autoSpaceDE/>
        <w:autoSpaceDN/>
        <w:bidi w:val="0"/>
        <w:adjustRightInd w:val="0"/>
        <w:snapToGrid w:val="0"/>
        <w:spacing w:after="0"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eastAsia="zh-CN"/>
        </w:rPr>
        <w:t>落实十四届县委第八轮巡察反馈意见</w:t>
      </w:r>
    </w:p>
    <w:p w14:paraId="0B724666">
      <w:pPr>
        <w:keepNext w:val="0"/>
        <w:keepLines w:val="0"/>
        <w:pageBreakBefore w:val="0"/>
        <w:widowControl/>
        <w:kinsoku/>
        <w:wordWrap/>
        <w:overflowPunct/>
        <w:topLinePunct w:val="0"/>
        <w:autoSpaceDE/>
        <w:autoSpaceDN/>
        <w:bidi w:val="0"/>
        <w:adjustRightInd w:val="0"/>
        <w:snapToGrid w:val="0"/>
        <w:spacing w:after="0" w:line="600" w:lineRule="exact"/>
        <w:jc w:val="center"/>
        <w:textAlignment w:val="auto"/>
        <w:rPr>
          <w:rFonts w:hint="eastAsia"/>
          <w:lang w:eastAsia="zh-CN"/>
        </w:rPr>
      </w:pPr>
      <w:r>
        <w:rPr>
          <w:rFonts w:hint="eastAsia" w:ascii="方正小标宋简体" w:hAnsi="方正小标宋简体" w:eastAsia="方正小标宋简体" w:cs="方正小标宋简体"/>
          <w:sz w:val="44"/>
          <w:szCs w:val="44"/>
          <w:lang w:eastAsia="zh-CN"/>
        </w:rPr>
        <w:t>整改情况报告</w:t>
      </w:r>
      <w:bookmarkStart w:id="8" w:name="_GoBack"/>
      <w:bookmarkEnd w:id="8"/>
    </w:p>
    <w:p w14:paraId="37E09CAB">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p>
    <w:p w14:paraId="6CFE2AC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根据县委统一部署，20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日至20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日，县委第</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巡察组对县</w:t>
      </w:r>
      <w:r>
        <w:rPr>
          <w:rFonts w:hint="eastAsia" w:ascii="仿宋_GB2312" w:hAnsi="仿宋_GB2312" w:eastAsia="仿宋_GB2312" w:cs="仿宋_GB2312"/>
          <w:sz w:val="32"/>
          <w:szCs w:val="32"/>
          <w:lang w:eastAsia="zh-CN"/>
        </w:rPr>
        <w:t>市场监督管理局党组</w:t>
      </w:r>
      <w:r>
        <w:rPr>
          <w:rFonts w:hint="eastAsia" w:ascii="仿宋_GB2312" w:hAnsi="仿宋_GB2312" w:eastAsia="仿宋_GB2312" w:cs="仿宋_GB2312"/>
          <w:sz w:val="32"/>
          <w:szCs w:val="32"/>
        </w:rPr>
        <w:t>进行了专项巡察，20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日，县委第</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巡察组向县</w:t>
      </w:r>
      <w:r>
        <w:rPr>
          <w:rFonts w:hint="eastAsia" w:ascii="仿宋_GB2312" w:hAnsi="仿宋_GB2312" w:eastAsia="仿宋_GB2312" w:cs="仿宋_GB2312"/>
          <w:sz w:val="32"/>
          <w:szCs w:val="32"/>
          <w:lang w:eastAsia="zh-CN"/>
        </w:rPr>
        <w:t>市场监管</w:t>
      </w:r>
      <w:r>
        <w:rPr>
          <w:rFonts w:hint="eastAsia" w:ascii="仿宋_GB2312" w:hAnsi="仿宋_GB2312" w:eastAsia="仿宋_GB2312" w:cs="仿宋_GB2312"/>
          <w:sz w:val="32"/>
          <w:szCs w:val="32"/>
        </w:rPr>
        <w:t>局反馈了巡察意见。巡察组实事求是、客观公正地指出了</w:t>
      </w:r>
      <w:r>
        <w:rPr>
          <w:rFonts w:hint="eastAsia" w:ascii="仿宋_GB2312" w:hAnsi="仿宋_GB2312" w:eastAsia="仿宋_GB2312" w:cs="仿宋_GB2312"/>
          <w:sz w:val="32"/>
          <w:szCs w:val="32"/>
          <w:lang w:eastAsia="zh-CN"/>
        </w:rPr>
        <w:t>市场监管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存在上轮巡察未整改到位、贯彻落实党中央决策部署有差距、党风廉政建设抓而不实、党组织建设有短板等四个方面问题</w:t>
      </w:r>
      <w:r>
        <w:rPr>
          <w:rFonts w:hint="eastAsia" w:ascii="仿宋_GB2312" w:hAnsi="仿宋_GB2312" w:eastAsia="仿宋_GB2312" w:cs="仿宋_GB2312"/>
          <w:sz w:val="32"/>
          <w:szCs w:val="32"/>
        </w:rPr>
        <w:t>，有针对性地提出了改进意见和建议。根据县委巡察办的反馈意见，经认真对照梳理，县</w:t>
      </w:r>
      <w:r>
        <w:rPr>
          <w:rFonts w:hint="eastAsia" w:ascii="仿宋_GB2312" w:hAnsi="仿宋_GB2312" w:eastAsia="仿宋_GB2312" w:cs="仿宋_GB2312"/>
          <w:sz w:val="32"/>
          <w:szCs w:val="32"/>
          <w:lang w:eastAsia="zh-CN"/>
        </w:rPr>
        <w:t>市场监管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需整改</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方面</w:t>
      </w:r>
      <w:r>
        <w:rPr>
          <w:rFonts w:hint="eastAsia" w:ascii="仿宋_GB2312" w:hAnsi="仿宋_GB2312" w:eastAsia="仿宋_GB2312" w:cs="仿宋_GB2312"/>
          <w:sz w:val="32"/>
          <w:szCs w:val="32"/>
        </w:rPr>
        <w:t>问题</w:t>
      </w:r>
      <w:r>
        <w:rPr>
          <w:rFonts w:hint="eastAsia" w:ascii="仿宋_GB2312" w:hAnsi="仿宋_GB2312" w:eastAsia="仿宋_GB2312" w:cs="仿宋_GB2312"/>
          <w:sz w:val="32"/>
          <w:szCs w:val="32"/>
          <w:lang w:eastAsia="zh-CN"/>
        </w:rPr>
        <w:t>进行了</w:t>
      </w: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val="en-US" w:eastAsia="zh-CN"/>
        </w:rPr>
        <w:t>将</w:t>
      </w:r>
      <w:r>
        <w:rPr>
          <w:rFonts w:hint="eastAsia" w:ascii="仿宋_GB2312" w:hAnsi="仿宋_GB2312" w:eastAsia="仿宋_GB2312" w:cs="仿宋_GB2312"/>
          <w:sz w:val="32"/>
          <w:szCs w:val="32"/>
        </w:rPr>
        <w:t>整改情况汇报如下</w:t>
      </w:r>
      <w:r>
        <w:rPr>
          <w:rFonts w:hint="eastAsia" w:ascii="仿宋_GB2312" w:hAnsi="仿宋_GB2312" w:eastAsia="仿宋_GB2312" w:cs="仿宋_GB2312"/>
          <w:sz w:val="32"/>
          <w:szCs w:val="32"/>
          <w:lang w:eastAsia="zh-CN"/>
        </w:rPr>
        <w:t>。</w:t>
      </w:r>
    </w:p>
    <w:p w14:paraId="63672778">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一、单位基本情况</w:t>
      </w:r>
    </w:p>
    <w:p w14:paraId="6AD36B6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汤阴县市场监督管理局于2019年1月31日挂牌成立，为正科级行政执法单位，挂汤阴县知识产权局牌子，由原工商质监、食药监、物价、知识产权、盐业等部门合并成立，负责全县市场综合监督管理、市场主体统一登记注册、综合执法、相关反垄断执法、宏观质量管理、产品质量安全监督管理、特种设备安全监督管理、食品安全监督管理、计量、药品监督管理、医疗器械监督管理、化妆品监督管理、物价监管、知识产权等工作。目前在岗职工159人，44名行政编制人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71名事业编人员</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44名劳务派遣。</w:t>
      </w:r>
    </w:p>
    <w:p w14:paraId="7CA3C75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汤阴县市场监督管理局内设16个股室：办公室、食品安全综合协调股、法规股、登记注册股（审批服务股）、信用与网络交易监督管理股、产品质量安全监督管理股、标准计量和认证监督管理股、特种设备安全监察股、食品生产安全监督管理股、食品经营安全监督管理股、药械化监督管理股、价格监督检查股、知识产权促进保护股、12315投诉中心、执法稽查股、离退休干部工作股。所属</w:t>
      </w:r>
      <w:r>
        <w:rPr>
          <w:rFonts w:hint="eastAsia" w:ascii="仿宋_GB2312" w:hAnsi="仿宋_GB2312" w:eastAsia="仿宋_GB2312" w:cs="仿宋_GB2312"/>
          <w:sz w:val="32"/>
          <w:szCs w:val="32"/>
          <w:lang w:val="en-US" w:eastAsia="zh-CN"/>
        </w:rPr>
        <w:t>3个</w:t>
      </w:r>
      <w:r>
        <w:rPr>
          <w:rFonts w:hint="eastAsia" w:ascii="仿宋_GB2312" w:hAnsi="仿宋_GB2312" w:eastAsia="仿宋_GB2312" w:cs="仿宋_GB2312"/>
          <w:sz w:val="32"/>
          <w:szCs w:val="32"/>
        </w:rPr>
        <w:t>事业单位：汤阴县知识产权维权保护中心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汤阴县市场监管事务中心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汤阴县市场监管综合行政执法大队。</w:t>
      </w:r>
    </w:p>
    <w:p w14:paraId="0B11D4E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二、整改落实情况</w:t>
      </w:r>
    </w:p>
    <w:p w14:paraId="482F2D5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楷体_GB2312" w:hAnsi="楷体_GB2312" w:eastAsia="楷体_GB2312" w:cs="楷体_GB2312"/>
          <w:sz w:val="32"/>
          <w:szCs w:val="32"/>
        </w:rPr>
        <w:t>(一)提高政治站位,扛牢抓实</w:t>
      </w:r>
      <w:r>
        <w:rPr>
          <w:rFonts w:hint="eastAsia" w:ascii="楷体_GB2312" w:hAnsi="楷体_GB2312" w:eastAsia="楷体_GB2312" w:cs="楷体_GB2312"/>
          <w:sz w:val="32"/>
          <w:szCs w:val="32"/>
          <w:lang w:eastAsia="zh-CN"/>
        </w:rPr>
        <w:t>巡察</w:t>
      </w:r>
      <w:r>
        <w:rPr>
          <w:rFonts w:hint="eastAsia" w:ascii="楷体_GB2312" w:hAnsi="楷体_GB2312" w:eastAsia="楷体_GB2312" w:cs="楷体_GB2312"/>
          <w:sz w:val="32"/>
          <w:szCs w:val="32"/>
        </w:rPr>
        <w:t>整改主体责任。</w:t>
      </w:r>
      <w:r>
        <w:rPr>
          <w:rFonts w:hint="eastAsia" w:ascii="CESI仿宋-GB13000" w:hAnsi="CESI仿宋-GB13000" w:eastAsia="CESI仿宋-GB13000" w:cs="CESI仿宋-GB13000"/>
          <w:sz w:val="32"/>
          <w:szCs w:val="32"/>
          <w:lang w:eastAsia="zh-CN"/>
        </w:rPr>
        <w:t>收到县委第八轮巡察</w:t>
      </w:r>
      <w:r>
        <w:rPr>
          <w:rFonts w:hint="eastAsia" w:ascii="CESI仿宋-GB13000" w:hAnsi="CESI仿宋-GB13000" w:eastAsia="CESI仿宋-GB13000" w:cs="CESI仿宋-GB13000"/>
          <w:sz w:val="32"/>
          <w:szCs w:val="32"/>
        </w:rPr>
        <w:t>反馈意见后，局党组把</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反馈意见整改工作作为首要政治任务</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立即召开党组专题会，迅速安排部署</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整改落实工作。要求全局行动起来，积极按照要求进行整改落实，并先后在</w:t>
      </w:r>
      <w:r>
        <w:rPr>
          <w:rFonts w:hint="eastAsia" w:ascii="CESI仿宋-GB13000" w:hAnsi="CESI仿宋-GB13000" w:eastAsia="CESI仿宋-GB13000" w:cs="CESI仿宋-GB13000"/>
          <w:sz w:val="32"/>
          <w:szCs w:val="32"/>
          <w:lang w:val="en-US" w:eastAsia="zh-CN"/>
        </w:rPr>
        <w:t>3</w:t>
      </w:r>
      <w:r>
        <w:rPr>
          <w:rFonts w:hint="eastAsia" w:ascii="CESI仿宋-GB13000" w:hAnsi="CESI仿宋-GB13000" w:eastAsia="CESI仿宋-GB13000" w:cs="CESI仿宋-GB13000"/>
          <w:sz w:val="32"/>
          <w:szCs w:val="32"/>
        </w:rPr>
        <w:t>次会议上对</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整改落实工作再加压、再部署</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及时跟进。</w:t>
      </w:r>
    </w:p>
    <w:p w14:paraId="5165970E">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0" w:firstLineChars="200"/>
        <w:jc w:val="left"/>
        <w:textAlignment w:val="auto"/>
        <w:rPr>
          <w:rFonts w:hint="eastAsia" w:ascii="CESI仿宋-GB13000" w:hAnsi="CESI仿宋-GB13000" w:eastAsia="CESI仿宋-GB13000" w:cs="CESI仿宋-GB13000"/>
          <w:sz w:val="32"/>
          <w:szCs w:val="32"/>
        </w:rPr>
      </w:pPr>
      <w:r>
        <w:rPr>
          <w:rFonts w:hint="eastAsia" w:ascii="楷体_GB2312" w:hAnsi="楷体_GB2312" w:eastAsia="楷体_GB2312" w:cs="楷体_GB2312"/>
          <w:sz w:val="32"/>
          <w:szCs w:val="32"/>
        </w:rPr>
        <w:t>(二)明确职责分工,层层传导</w:t>
      </w:r>
      <w:r>
        <w:rPr>
          <w:rFonts w:hint="eastAsia" w:ascii="楷体_GB2312" w:hAnsi="楷体_GB2312" w:eastAsia="楷体_GB2312" w:cs="楷体_GB2312"/>
          <w:sz w:val="32"/>
          <w:szCs w:val="32"/>
          <w:lang w:eastAsia="zh-CN"/>
        </w:rPr>
        <w:t>巡察</w:t>
      </w:r>
      <w:r>
        <w:rPr>
          <w:rFonts w:hint="eastAsia" w:ascii="楷体_GB2312" w:hAnsi="楷体_GB2312" w:eastAsia="楷体_GB2312" w:cs="楷体_GB2312"/>
          <w:sz w:val="32"/>
          <w:szCs w:val="32"/>
        </w:rPr>
        <w:t>整改工作压力。</w:t>
      </w:r>
      <w:r>
        <w:rPr>
          <w:rFonts w:hint="eastAsia" w:ascii="CESI仿宋-GB13000" w:hAnsi="CESI仿宋-GB13000" w:eastAsia="CESI仿宋-GB13000" w:cs="CESI仿宋-GB13000"/>
          <w:sz w:val="32"/>
          <w:szCs w:val="32"/>
        </w:rPr>
        <w:t>为持续强化</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整改工作压力</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成立了由局党组书记、局长</w:t>
      </w:r>
      <w:r>
        <w:rPr>
          <w:rFonts w:hint="eastAsia" w:ascii="CESI仿宋-GB13000" w:hAnsi="CESI仿宋-GB13000" w:eastAsia="CESI仿宋-GB13000" w:cs="CESI仿宋-GB13000"/>
          <w:sz w:val="32"/>
          <w:szCs w:val="32"/>
          <w:lang w:eastAsia="zh-CN"/>
        </w:rPr>
        <w:t>崔玉彬</w:t>
      </w:r>
      <w:r>
        <w:rPr>
          <w:rFonts w:hint="eastAsia" w:ascii="CESI仿宋-GB13000" w:hAnsi="CESI仿宋-GB13000" w:eastAsia="CESI仿宋-GB13000" w:cs="CESI仿宋-GB13000"/>
          <w:sz w:val="32"/>
          <w:szCs w:val="32"/>
        </w:rPr>
        <w:t>任组长的</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整改</w:t>
      </w:r>
      <w:r>
        <w:rPr>
          <w:rFonts w:hint="eastAsia" w:ascii="CESI仿宋-GB13000" w:hAnsi="CESI仿宋-GB13000" w:eastAsia="CESI仿宋-GB13000" w:cs="CESI仿宋-GB13000"/>
          <w:sz w:val="32"/>
          <w:szCs w:val="32"/>
          <w:lang w:eastAsia="zh-CN"/>
        </w:rPr>
        <w:t>工作</w:t>
      </w:r>
      <w:r>
        <w:rPr>
          <w:rFonts w:hint="eastAsia" w:ascii="CESI仿宋-GB13000" w:hAnsi="CESI仿宋-GB13000" w:eastAsia="CESI仿宋-GB13000" w:cs="CESI仿宋-GB13000"/>
          <w:sz w:val="32"/>
          <w:szCs w:val="32"/>
        </w:rPr>
        <w:t>领导小组</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副局长王大伟专职负责整改工作具体落实推进</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印发了《汤阴县市场监督管理局</w:t>
      </w:r>
      <w:r>
        <w:rPr>
          <w:rFonts w:hint="eastAsia" w:ascii="CESI仿宋-GB13000" w:hAnsi="CESI仿宋-GB13000" w:eastAsia="CESI仿宋-GB13000" w:cs="CESI仿宋-GB13000"/>
          <w:sz w:val="32"/>
          <w:szCs w:val="32"/>
          <w:lang w:eastAsia="zh-CN"/>
        </w:rPr>
        <w:t>第八轮</w:t>
      </w:r>
      <w:r>
        <w:rPr>
          <w:rFonts w:hint="eastAsia" w:ascii="CESI仿宋-GB13000" w:hAnsi="CESI仿宋-GB13000" w:eastAsia="CESI仿宋-GB13000" w:cs="CESI仿宋-GB13000"/>
          <w:sz w:val="32"/>
          <w:szCs w:val="32"/>
        </w:rPr>
        <w:t>巡察反馈意见整改实施方案》，进一步细化分工、完善台账,明确责任领导、责任人和整改时限</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建立督导工作机制，确保我局</w:t>
      </w:r>
      <w:r>
        <w:rPr>
          <w:rFonts w:hint="eastAsia" w:ascii="CESI仿宋-GB13000" w:hAnsi="CESI仿宋-GB13000" w:eastAsia="CESI仿宋-GB13000" w:cs="CESI仿宋-GB13000"/>
          <w:sz w:val="32"/>
          <w:szCs w:val="32"/>
          <w:lang w:eastAsia="zh-CN"/>
        </w:rPr>
        <w:t>巡察</w:t>
      </w:r>
      <w:r>
        <w:rPr>
          <w:rFonts w:hint="eastAsia" w:ascii="CESI仿宋-GB13000" w:hAnsi="CESI仿宋-GB13000" w:eastAsia="CESI仿宋-GB13000" w:cs="CESI仿宋-GB13000"/>
          <w:sz w:val="32"/>
          <w:szCs w:val="32"/>
        </w:rPr>
        <w:t>整改工作压力横向到边、纵向到底。</w:t>
      </w:r>
    </w:p>
    <w:p w14:paraId="56ED9FFE">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(三)突出问题导向,分类推进</w:t>
      </w:r>
      <w:r>
        <w:rPr>
          <w:rFonts w:hint="eastAsia" w:ascii="楷体_GB2312" w:hAnsi="楷体_GB2312" w:eastAsia="楷体_GB2312" w:cs="楷体_GB2312"/>
          <w:sz w:val="32"/>
          <w:szCs w:val="32"/>
          <w:lang w:eastAsia="zh-CN"/>
        </w:rPr>
        <w:t>巡察</w:t>
      </w:r>
      <w:r>
        <w:rPr>
          <w:rFonts w:hint="eastAsia" w:ascii="楷体_GB2312" w:hAnsi="楷体_GB2312" w:eastAsia="楷体_GB2312" w:cs="楷体_GB2312"/>
          <w:sz w:val="32"/>
          <w:szCs w:val="32"/>
        </w:rPr>
        <w:t>整改全面落实。</w:t>
      </w:r>
      <w:r>
        <w:rPr>
          <w:rFonts w:hint="eastAsia" w:ascii="仿宋_GB2312" w:hAnsi="仿宋_GB2312" w:eastAsia="仿宋_GB2312" w:cs="仿宋_GB2312"/>
          <w:sz w:val="32"/>
          <w:szCs w:val="32"/>
        </w:rPr>
        <w:t>始终坚持问题导向，对于反馈意见中涉及到的具体人、具体事，制定整改措施,健全整改台账,明确责任人和整改时限,坚持一个不漏、一项不少持续深入抓好全面整改。</w:t>
      </w:r>
    </w:p>
    <w:p w14:paraId="07193794">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三、整改落实事项进展情况</w:t>
      </w:r>
    </w:p>
    <w:p w14:paraId="4904D78A">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0"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（一）上轮巡察未整改到位问题</w:t>
      </w:r>
    </w:p>
    <w:p w14:paraId="7000BBC8">
      <w:pPr>
        <w:pStyle w:val="7"/>
        <w:keepNext w:val="0"/>
        <w:keepLines w:val="0"/>
        <w:pageBreakBefore w:val="0"/>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 w:hAnsi="仿宋" w:eastAsia="仿宋" w:cs="仿宋"/>
          <w:b/>
          <w:bCs/>
          <w:sz w:val="32"/>
          <w:szCs w:val="32"/>
          <w:lang w:eastAsia="zh-CN"/>
        </w:rPr>
        <w:t>伏道镇基层所债权债务、房屋产权界限不清，国有资产有流失风险。</w:t>
      </w:r>
      <w:r>
        <w:rPr>
          <w:rFonts w:hint="eastAsia" w:ascii="仿宋" w:hAnsi="仿宋" w:eastAsia="仿宋" w:cs="仿宋"/>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w:t>
      </w:r>
    </w:p>
    <w:p w14:paraId="57BDDD0E">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2000年前后伏道二街村民李金贵对伏道所院墙、地面、厕所、五间西屋进行修建。因县市场监督管理局找不到当时的合同、工程量、决算等手续，目前仅有两张2004年、2006年经两任局长签字的借据，借给施工方李金贵2万元。2015年3月李金贵锁门、强行占用原工商所。工商所报案后，派出所以经济纠纷为由，不予立案，致使伏道所搬迁至创业大厦办公。如今伏道二街村民李金贵不起诉不信访，占用工商所进行出租经营长达近十年之久。</w:t>
      </w:r>
    </w:p>
    <w:p w14:paraId="2F9F114B">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0" w:firstLineChars="200"/>
        <w:jc w:val="left"/>
        <w:textAlignment w:val="auto"/>
        <w:rPr>
          <w:rFonts w:hint="eastAsia"/>
        </w:rPr>
      </w:pPr>
      <w:r>
        <w:rPr>
          <w:rFonts w:hint="eastAsia" w:ascii="仿宋_GB2312" w:hAnsi="仿宋_GB2312" w:eastAsia="仿宋_GB2312" w:cs="仿宋_GB2312"/>
          <w:b w:val="0"/>
          <w:bCs w:val="0"/>
          <w:sz w:val="32"/>
          <w:szCs w:val="32"/>
          <w:lang w:val="en-US" w:eastAsia="zh-CN"/>
        </w:rPr>
        <w:t>目前，伏道基层所债权债务、房屋产权问题，我局正在通过司法途径解决。在瓦岗法庭的组织下，评估公司将于2025年5月29日对涉及的房屋进行现场评估。</w:t>
      </w:r>
    </w:p>
    <w:p w14:paraId="50C89B14">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0" w:firstLineChars="200"/>
        <w:jc w:val="left"/>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（二）贯彻落实党中央决策部署有差距，“总开关”拧得不够紧</w:t>
      </w:r>
    </w:p>
    <w:p w14:paraId="047BF3B9">
      <w:pPr>
        <w:keepNext w:val="0"/>
        <w:keepLines w:val="0"/>
        <w:pageBreakBefore w:val="0"/>
        <w:widowControl/>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1.学习贯彻习近平新时代中国特色社会主义思想不深入。</w:t>
      </w:r>
      <w:r>
        <w:rPr>
          <w:rFonts w:hint="eastAsia" w:ascii="仿宋_GB2312" w:hAnsi="仿宋_GB2312" w:eastAsia="仿宋_GB2312" w:cs="仿宋_GB2312"/>
          <w:sz w:val="32"/>
          <w:szCs w:val="32"/>
          <w:lang w:val="en-US" w:eastAsia="zh-CN"/>
        </w:rPr>
        <w:t>一是理论学习制度不完善。二是</w:t>
      </w:r>
      <w:bookmarkStart w:id="0" w:name="OLE_LINK1"/>
      <w:r>
        <w:rPr>
          <w:rFonts w:hint="eastAsia" w:ascii="仿宋_GB2312" w:hAnsi="仿宋_GB2312" w:eastAsia="仿宋_GB2312" w:cs="仿宋_GB2312"/>
          <w:sz w:val="32"/>
          <w:szCs w:val="32"/>
          <w:lang w:val="en-US" w:eastAsia="zh-CN"/>
        </w:rPr>
        <w:t>理论学习氛围不浓厚。</w:t>
      </w:r>
      <w:bookmarkEnd w:id="0"/>
      <w:r>
        <w:rPr>
          <w:rFonts w:hint="eastAsia" w:ascii="仿宋_GB2312" w:hAnsi="仿宋_GB2312" w:eastAsia="仿宋_GB2312" w:cs="仿宋_GB2312"/>
          <w:sz w:val="32"/>
          <w:szCs w:val="32"/>
          <w:lang w:val="en-US" w:eastAsia="zh-CN"/>
        </w:rPr>
        <w:t>三是</w:t>
      </w:r>
      <w:bookmarkStart w:id="1" w:name="OLE_LINK2"/>
      <w:r>
        <w:rPr>
          <w:rFonts w:hint="eastAsia" w:ascii="仿宋_GB2312" w:hAnsi="仿宋_GB2312" w:eastAsia="仿宋_GB2312" w:cs="仿宋_GB2312"/>
          <w:sz w:val="32"/>
          <w:szCs w:val="32"/>
          <w:lang w:val="en-US" w:eastAsia="zh-CN"/>
        </w:rPr>
        <w:t>干部教育流于形式。</w:t>
      </w:r>
    </w:p>
    <w:bookmarkEnd w:id="1"/>
    <w:p w14:paraId="41C732E6">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我局已制定理论中心组学习制度和理论中心组学习年度计划，系统开展理论学习中心组学习</w:t>
      </w:r>
      <w:r>
        <w:rPr>
          <w:rFonts w:hint="eastAsia" w:ascii="仿宋_GB2312" w:hAnsi="仿宋_GB2312" w:eastAsia="仿宋_GB2312" w:cs="仿宋_GB2312"/>
          <w:sz w:val="32"/>
          <w:szCs w:val="32"/>
          <w:lang w:eastAsia="zh-CN"/>
        </w:rPr>
        <w:t>，今年已有计划的开展</w:t>
      </w:r>
      <w:r>
        <w:rPr>
          <w:rFonts w:hint="eastAsia" w:ascii="仿宋_GB2312" w:hAnsi="仿宋_GB2312" w:eastAsia="仿宋_GB2312" w:cs="仿宋_GB2312"/>
          <w:sz w:val="32"/>
          <w:szCs w:val="32"/>
          <w:lang w:val="en-US" w:eastAsia="zh-CN"/>
        </w:rPr>
        <w:t>4次理论中心组学习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每次学习涵盖至少 3 篇不同主题的学习材料，全面覆盖政治、经济、文化、社会治理等多个领域知识，</w:t>
      </w:r>
      <w:r>
        <w:rPr>
          <w:rFonts w:hint="eastAsia" w:ascii="仿宋_GB2312" w:hAnsi="仿宋_GB2312" w:eastAsia="仿宋_GB2312" w:cs="仿宋_GB2312"/>
          <w:sz w:val="32"/>
          <w:szCs w:val="32"/>
          <w:lang w:eastAsia="zh-CN"/>
        </w:rPr>
        <w:t>并重点专题学习了</w:t>
      </w:r>
      <w:r>
        <w:rPr>
          <w:rFonts w:hint="eastAsia" w:ascii="仿宋_GB2312" w:hAnsi="仿宋_GB2312" w:eastAsia="仿宋_GB2312" w:cs="仿宋_GB2312"/>
          <w:sz w:val="32"/>
          <w:szCs w:val="32"/>
        </w:rPr>
        <w:t>筑牢中华民族共同体意识和宗教工作相关内容。</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离退休干部股深入各部门开展培训需求调研，根据需求和单位发展目标，制定了个性化、差异化的年度干部教育培训计划，并按照计划按期开展。</w:t>
      </w:r>
    </w:p>
    <w:p w14:paraId="35665E54">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2.意识形态责任制落实有偏差。</w:t>
      </w:r>
      <w:r>
        <w:rPr>
          <w:rFonts w:hint="eastAsia" w:ascii="仿宋_GB2312" w:hAnsi="仿宋_GB2312" w:eastAsia="仿宋_GB2312" w:cs="仿宋_GB2312"/>
          <w:sz w:val="32"/>
          <w:szCs w:val="32"/>
          <w:lang w:val="en-US" w:eastAsia="zh-CN"/>
        </w:rPr>
        <w:t>一是未严格落实“第一议题”制度。二是未定期研究部署意识形态工作。</w:t>
      </w:r>
    </w:p>
    <w:p w14:paraId="606886B7">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严格落实“第一议题”制度，每月5日前向县委宣传部上报当月党组会议第一议题内容。</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党组会议学习了《关于贯彻落实党委意识形态工作责任制实施办法〉的重点任务及责任分工》，明确规定每季度至少召开一次意识形态专题工作会议，将意识形态工作纳入重要议事日程，与单位业务工作同部署、同落实、同检查、同考核。</w:t>
      </w:r>
      <w:r>
        <w:rPr>
          <w:rFonts w:hint="eastAsia" w:ascii="仿宋_GB2312" w:hAnsi="仿宋_GB2312" w:eastAsia="仿宋_GB2312" w:cs="仿宋_GB2312"/>
          <w:sz w:val="32"/>
          <w:szCs w:val="32"/>
          <w:lang w:eastAsia="zh-CN"/>
        </w:rPr>
        <w:t>三是每季度</w:t>
      </w:r>
      <w:r>
        <w:rPr>
          <w:rFonts w:hint="eastAsia" w:ascii="仿宋_GB2312" w:hAnsi="仿宋_GB2312" w:eastAsia="仿宋_GB2312" w:cs="仿宋_GB2312"/>
          <w:sz w:val="32"/>
          <w:szCs w:val="32"/>
        </w:rPr>
        <w:t>全面分析研判单位在一个季度内的意识形态领域动态，包括内部干部职工的思想动态、对外宣传舆论导向、网络舆情监测情况等，及时发现存在的问题和潜在风险点，形成意识形态分析研判报告。</w:t>
      </w:r>
    </w:p>
    <w:p w14:paraId="1BFF5E41">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（三）党风廉政建设抓而不实，监督机制不完善</w:t>
      </w:r>
    </w:p>
    <w:p w14:paraId="5D1D1208">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w:t>
      </w:r>
      <w:bookmarkStart w:id="2" w:name="OLE_LINK4"/>
      <w:r>
        <w:rPr>
          <w:rFonts w:hint="eastAsia" w:ascii="仿宋_GB2312" w:hAnsi="仿宋_GB2312" w:eastAsia="仿宋_GB2312" w:cs="仿宋_GB2312"/>
          <w:b/>
          <w:bCs/>
          <w:sz w:val="32"/>
          <w:szCs w:val="32"/>
          <w:lang w:val="en-US" w:eastAsia="zh-CN"/>
        </w:rPr>
        <w:t>“三重一大”制度执行不严。</w:t>
      </w:r>
      <w:bookmarkEnd w:id="2"/>
    </w:p>
    <w:p w14:paraId="1307836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党组会议学习“三重一大”制度，详细解读制度内容、适用范围、决策程序等关键要点，提高了制度执行的严格性；</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进一步细化“三重一大”事项的具体范围和标准，明确使用范畴为重大决策、重要人事任免、重大项目安排和大额资金使用。</w:t>
      </w:r>
    </w:p>
    <w:p w14:paraId="186D6E31">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2.机构改革不彻底，基层所存在不稳定因素。</w:t>
      </w:r>
      <w:r>
        <w:rPr>
          <w:rFonts w:hint="eastAsia" w:ascii="仿宋_GB2312" w:hAnsi="仿宋_GB2312" w:eastAsia="仿宋_GB2312" w:cs="仿宋_GB2312"/>
          <w:sz w:val="32"/>
          <w:szCs w:val="32"/>
          <w:lang w:val="en-US" w:eastAsia="zh-CN"/>
        </w:rPr>
        <w:t>一是“编随事走，人随编走”没有落到实处。二是基层所人员权利和义务不对等。三是基层所工作人员年龄结构失衡。四是基层所工作量大，承接大量投诉举报工作，综合执法大队与基层所案件办理的界限不清。五是基层所负责人机构改革前后面临的问题。</w:t>
      </w:r>
    </w:p>
    <w:p w14:paraId="7A4139A3">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现已整改到位。按照机构改革要求，我单位在县委、县政府的领导下于2025年3月12日在县政府第二会议室召开了《汤阴县市场监管所移交乡镇政府管理协调会》，现划转编制及划转人员已移交各乡镇政府管理，划转人员手续已办结，各乡镇市场监管所已纳入镇政府日常监管。</w:t>
      </w:r>
    </w:p>
    <w:p w14:paraId="21240D56">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3.综合行政执法大队责任履行缺位。</w:t>
      </w:r>
      <w:r>
        <w:rPr>
          <w:rFonts w:hint="eastAsia" w:ascii="仿宋_GB2312" w:hAnsi="仿宋_GB2312" w:eastAsia="仿宋_GB2312" w:cs="仿宋_GB2312"/>
          <w:sz w:val="32"/>
          <w:szCs w:val="32"/>
          <w:lang w:val="en-US" w:eastAsia="zh-CN"/>
        </w:rPr>
        <w:t>一是缺编混岗严重。二是未按三定方案设立内设机构。三是执法大队重要岗位空缺。</w:t>
      </w:r>
    </w:p>
    <w:p w14:paraId="392FFC38">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现已整改到位。按照市场监管综合行政执法大队三定方案要求，我单位已设立综合行政执法大队内设机构，3月31号人员</w:t>
      </w:r>
      <w:r>
        <w:rPr>
          <w:rFonts w:hint="eastAsia" w:ascii="仿宋_GB2312" w:hAnsi="仿宋_GB2312" w:eastAsia="仿宋_GB2312" w:cs="仿宋_GB2312"/>
          <w:sz w:val="32"/>
          <w:szCs w:val="32"/>
          <w:lang w:eastAsia="zh-CN"/>
        </w:rPr>
        <w:t>已</w:t>
      </w:r>
      <w:r>
        <w:rPr>
          <w:rFonts w:hint="eastAsia" w:ascii="仿宋_GB2312" w:hAnsi="仿宋_GB2312" w:eastAsia="仿宋_GB2312" w:cs="仿宋_GB2312"/>
          <w:sz w:val="32"/>
          <w:szCs w:val="32"/>
        </w:rPr>
        <w:t>全部到位。</w:t>
      </w:r>
    </w:p>
    <w:p w14:paraId="540F9337">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4.执法队伍问题突出，市场监管面临挑战。</w:t>
      </w:r>
      <w:r>
        <w:rPr>
          <w:rFonts w:hint="eastAsia" w:ascii="仿宋_GB2312" w:hAnsi="仿宋_GB2312" w:eastAsia="仿宋_GB2312" w:cs="仿宋_GB2312"/>
          <w:sz w:val="32"/>
          <w:szCs w:val="32"/>
          <w:lang w:val="en-US" w:eastAsia="zh-CN"/>
        </w:rPr>
        <w:t>一是监管队伍力量薄弱。二是县市场监督管理局人员老龄化严重。</w:t>
      </w:r>
    </w:p>
    <w:p w14:paraId="3DD1E72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对于缺编老龄化情况，我局积极与县委组织部、县编办沟通，今年招聘事业编制人员10名，行政编制人员1名，今年9月将继续与县各部门争取引进退伍军人，用于充实人员编制，以弥补人员老化及缺编的问题。</w:t>
      </w:r>
    </w:p>
    <w:p w14:paraId="5C183F7C">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5.财务管理混乱。</w:t>
      </w:r>
      <w:r>
        <w:rPr>
          <w:rFonts w:hint="eastAsia" w:ascii="仿宋_GB2312" w:hAnsi="仿宋_GB2312" w:eastAsia="仿宋_GB2312" w:cs="仿宋_GB2312"/>
          <w:sz w:val="32"/>
          <w:szCs w:val="32"/>
          <w:lang w:val="en-US" w:eastAsia="zh-CN"/>
        </w:rPr>
        <w:t>一是原始凭证要素不全。二是应记未记固定资产。三是违规支付费用。四是支付费用支撑材料不全。五是支出科目错误。六是专项资金应支未支。七是其他应付款长期挂账，外欠款额度过大。八是其他问题。。</w:t>
      </w:r>
    </w:p>
    <w:p w14:paraId="78EE35F1">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一是召开党组专题会议，研究制定了整改措施。二是严格财务审核制度，严格规范执行固定资产管理制度和财务制度。三是财务股人员认真参与县财政局组织的财务培训，增强业务水平，从源头上消除违反财经纪律事件的再次发生。</w:t>
      </w:r>
    </w:p>
    <w:p w14:paraId="732B88FF">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6.合同及项目管理不到位。</w:t>
      </w:r>
      <w:r>
        <w:rPr>
          <w:rFonts w:hint="eastAsia" w:ascii="仿宋_GB2312" w:hAnsi="仿宋_GB2312" w:eastAsia="仿宋_GB2312" w:cs="仿宋_GB2312"/>
          <w:b w:val="0"/>
          <w:bCs w:val="0"/>
          <w:sz w:val="32"/>
          <w:szCs w:val="32"/>
          <w:lang w:val="en-US" w:eastAsia="zh-CN"/>
        </w:rPr>
        <w:t>一是合同签订不规范。二是询价程序不规范。</w:t>
      </w:r>
    </w:p>
    <w:p w14:paraId="5F6FCC2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val="en-US" w:eastAsia="zh-CN"/>
        </w:rPr>
        <w:t>一是3月3日召开党组会议，专题学习财务管理制度，规定单位签订项目合同严格按照合同法相关规定执行。二是制定了详细的询价工作流程，规定询价的启动条件、参与人员、询价方式（如电话询价、书面询价、网上询价等）、询价对象的选择标准等内容，确保询价过程有章可循。</w:t>
      </w:r>
    </w:p>
    <w:p w14:paraId="6AD12978">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lang w:val="en-US" w:eastAsia="zh-CN"/>
        </w:rPr>
      </w:pPr>
      <w:r>
        <w:rPr>
          <w:rFonts w:hint="eastAsia" w:ascii="仿宋_GB2312" w:hAnsi="仿宋_GB2312" w:eastAsia="仿宋_GB2312" w:cs="仿宋_GB2312"/>
          <w:b/>
          <w:bCs/>
          <w:sz w:val="32"/>
          <w:szCs w:val="32"/>
          <w:lang w:val="en-US" w:eastAsia="zh-CN"/>
        </w:rPr>
        <w:t>7.行政执法涉嫌违规。</w:t>
      </w:r>
      <w:r>
        <w:rPr>
          <w:rFonts w:hint="eastAsia" w:ascii="仿宋_GB2312" w:hAnsi="仿宋_GB2312" w:eastAsia="仿宋_GB2312" w:cs="仿宋_GB2312"/>
          <w:sz w:val="32"/>
          <w:szCs w:val="32"/>
          <w:lang w:val="en-US" w:eastAsia="zh-CN"/>
        </w:rPr>
        <w:t>一是未严格按照标准执行，使用自由裁量权混乱、执法随意。二是行政处罚有失公平。三是确定违法行为依据混乱、前后不一。四是执法过程不严谨。五是罚没物资管理不善。</w:t>
      </w:r>
    </w:p>
    <w:p w14:paraId="449A8D22">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在接到巡察组反馈意见后，我局党组及时召开党组专题会议，研究整改措施，制定整改台账</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给予办案人员及法制审核人员约谈提醒</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进一步完善案卷审核制度，防止该现象再次发生。</w:t>
      </w:r>
      <w:r>
        <w:rPr>
          <w:rFonts w:hint="eastAsia" w:ascii="仿宋_GB2312" w:hAnsi="仿宋_GB2312" w:eastAsia="仿宋_GB2312" w:cs="仿宋_GB2312"/>
          <w:sz w:val="32"/>
          <w:szCs w:val="32"/>
          <w:lang w:eastAsia="zh-CN"/>
        </w:rPr>
        <w:t>四是</w:t>
      </w:r>
      <w:r>
        <w:rPr>
          <w:rFonts w:hint="eastAsia" w:ascii="仿宋_GB2312" w:hAnsi="仿宋_GB2312" w:eastAsia="仿宋_GB2312" w:cs="仿宋_GB2312"/>
          <w:sz w:val="32"/>
          <w:szCs w:val="32"/>
        </w:rPr>
        <w:t>规范自由裁量权执行，制定细化量化标准，对法律条款中裁量幅度较大的处罚事项，建立阶梯化处罚基准，明确"情节轻微""情节严重"等情形的具体认定标准。</w:t>
      </w:r>
      <w:r>
        <w:rPr>
          <w:rFonts w:hint="eastAsia" w:ascii="仿宋_GB2312" w:hAnsi="仿宋_GB2312" w:eastAsia="仿宋_GB2312" w:cs="仿宋_GB2312"/>
          <w:sz w:val="32"/>
          <w:szCs w:val="32"/>
          <w:lang w:eastAsia="zh-CN"/>
        </w:rPr>
        <w:t>五是</w:t>
      </w:r>
      <w:r>
        <w:rPr>
          <w:rFonts w:hint="eastAsia" w:ascii="仿宋_GB2312" w:hAnsi="仿宋_GB2312" w:eastAsia="仿宋_GB2312" w:cs="仿宋_GB2312"/>
          <w:sz w:val="32"/>
          <w:szCs w:val="32"/>
        </w:rPr>
        <w:t>推行"双随机"执法机制，通过信息化系统随机匹配检查对象与执法人员，减少人为干预。</w:t>
      </w:r>
      <w:r>
        <w:rPr>
          <w:rFonts w:hint="eastAsia" w:ascii="仿宋_GB2312" w:hAnsi="仿宋_GB2312" w:eastAsia="仿宋_GB2312" w:cs="仿宋_GB2312"/>
          <w:sz w:val="32"/>
          <w:szCs w:val="32"/>
          <w:lang w:eastAsia="zh-CN"/>
        </w:rPr>
        <w:t>六是</w:t>
      </w:r>
      <w:r>
        <w:rPr>
          <w:rFonts w:hint="eastAsia" w:ascii="仿宋_GB2312" w:hAnsi="仿宋_GB2312" w:eastAsia="仿宋_GB2312" w:cs="仿宋_GB2312"/>
          <w:sz w:val="32"/>
          <w:szCs w:val="32"/>
        </w:rPr>
        <w:t>开展了执法人员专项培训。</w:t>
      </w:r>
      <w:r>
        <w:rPr>
          <w:rFonts w:hint="eastAsia" w:ascii="仿宋_GB2312" w:hAnsi="仿宋_GB2312" w:eastAsia="仿宋_GB2312" w:cs="仿宋_GB2312"/>
          <w:sz w:val="32"/>
          <w:szCs w:val="32"/>
          <w:lang w:eastAsia="zh-CN"/>
        </w:rPr>
        <w:t>七是</w:t>
      </w:r>
      <w:r>
        <w:rPr>
          <w:rFonts w:hint="eastAsia" w:ascii="仿宋_GB2312" w:hAnsi="仿宋_GB2312" w:eastAsia="仿宋_GB2312" w:cs="仿宋_GB2312"/>
          <w:sz w:val="32"/>
          <w:szCs w:val="32"/>
        </w:rPr>
        <w:t>联合司法部门开展了执法案卷评查。</w:t>
      </w:r>
      <w:r>
        <w:rPr>
          <w:rFonts w:hint="eastAsia" w:ascii="仿宋_GB2312" w:hAnsi="仿宋_GB2312" w:eastAsia="仿宋_GB2312" w:cs="仿宋_GB2312"/>
          <w:sz w:val="32"/>
          <w:szCs w:val="32"/>
          <w:lang w:eastAsia="zh-CN"/>
        </w:rPr>
        <w:t>八是</w:t>
      </w:r>
      <w:r>
        <w:rPr>
          <w:rFonts w:hint="eastAsia" w:ascii="仿宋_GB2312" w:hAnsi="仿宋_GB2312" w:eastAsia="仿宋_GB2312" w:cs="仿宋_GB2312"/>
          <w:sz w:val="32"/>
          <w:szCs w:val="32"/>
        </w:rPr>
        <w:t>加强罚没物资管理，建立专门台账，实行"一案一账"管理，注明物品来源、处置方式和去向。</w:t>
      </w:r>
    </w:p>
    <w:p w14:paraId="6C309D24">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eastAsia"/>
          <w:lang w:val="en-US" w:eastAsia="zh-CN"/>
        </w:rPr>
      </w:pPr>
      <w:r>
        <w:rPr>
          <w:rFonts w:hint="eastAsia" w:ascii="仿宋_GB2312" w:hAnsi="仿宋_GB2312" w:eastAsia="仿宋_GB2312" w:cs="仿宋_GB2312"/>
          <w:b/>
          <w:bCs/>
          <w:sz w:val="32"/>
          <w:szCs w:val="32"/>
          <w:lang w:val="en-US" w:eastAsia="zh-CN"/>
        </w:rPr>
        <w:t>8.责任意识不强，办案卷宗不严谨。</w:t>
      </w:r>
      <w:r>
        <w:rPr>
          <w:rFonts w:hint="eastAsia" w:ascii="仿宋_GB2312" w:hAnsi="仿宋_GB2312" w:eastAsia="仿宋_GB2312" w:cs="仿宋_GB2312"/>
          <w:sz w:val="32"/>
          <w:szCs w:val="32"/>
          <w:lang w:val="en-US" w:eastAsia="zh-CN"/>
        </w:rPr>
        <w:t>一是卷宗内容填写错误、部分内容明显缺失。二是卷宗内容涂改现象严重。</w:t>
      </w:r>
    </w:p>
    <w:p w14:paraId="6ABF9194">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强化责任意识培养，建立案件终身负责制，明确卷宗制作、审核、归档各环节责任人，实行签名追溯机制。</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规范卷宗制作标准，制定统一的《执法卷宗制作规范》，细化封面、目录、文书排序等22项标准。</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完善过程质量管控，实行"三级审核"制度，办案人自查、科室复核、法制部门终审。</w:t>
      </w:r>
    </w:p>
    <w:p w14:paraId="6FC389E0">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9.监管执法“宽松软”，存在“以罚代管”现象。</w:t>
      </w:r>
    </w:p>
    <w:p w14:paraId="209568DF">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一是根据汤质强办〔2023〕8号文件开展儿童及婴幼儿服装行业质量提升专项行动。二是加大抽检力度，争取上级对我县服装抽检批次，今年以来配合省局抽检我县婴幼儿服装4批次，覆盖浩欣、兆峰等中小微服装企业。三是加强产品质量监管，按照市局“双随机、一公开”检查比例2%，监督抽查我县婴幼儿服装企业2家列入计划，加大对辖区内童装产品监督检查力度和频次。四是执法与宣传教育并举，执法人员在监督检查、从严办案的同时，积极向企业宣传《产品质量法》、企业主体责任、国家标准、缺陷产品召回、不合格后处理等相关知识11家次，提升企业质量意识。</w:t>
      </w:r>
    </w:p>
    <w:p w14:paraId="4103FBEC">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10.食品安全存在风险隐患。</w:t>
      </w:r>
      <w:r>
        <w:rPr>
          <w:rFonts w:hint="eastAsia" w:ascii="仿宋_GB2312" w:hAnsi="仿宋_GB2312" w:eastAsia="仿宋_GB2312" w:cs="仿宋_GB2312"/>
          <w:sz w:val="32"/>
          <w:szCs w:val="32"/>
          <w:lang w:val="en-US" w:eastAsia="zh-CN"/>
        </w:rPr>
        <w:t>一是校园食品安全监管不规范。二是商超、小微商店安全监管不规范。三是小餐饮安全监管不规范。</w:t>
      </w:r>
      <w:bookmarkStart w:id="3" w:name="OLE_LINK11"/>
      <w:r>
        <w:rPr>
          <w:rFonts w:hint="eastAsia" w:ascii="仿宋_GB2312" w:hAnsi="仿宋_GB2312" w:eastAsia="仿宋_GB2312" w:cs="仿宋_GB2312"/>
          <w:sz w:val="32"/>
          <w:szCs w:val="32"/>
          <w:lang w:val="en-US" w:eastAsia="zh-CN"/>
        </w:rPr>
        <w:t>四是中小食品企业监管不规范。</w:t>
      </w:r>
      <w:bookmarkEnd w:id="3"/>
      <w:bookmarkStart w:id="4" w:name="OLE_LINK10"/>
      <w:r>
        <w:rPr>
          <w:rFonts w:hint="eastAsia" w:ascii="仿宋_GB2312" w:hAnsi="仿宋_GB2312" w:eastAsia="仿宋_GB2312" w:cs="仿宋_GB2312"/>
          <w:sz w:val="32"/>
          <w:szCs w:val="32"/>
          <w:lang w:val="en-US" w:eastAsia="zh-CN"/>
        </w:rPr>
        <w:t>五是食品小作坊安全监管不规范。</w:t>
      </w:r>
    </w:p>
    <w:bookmarkEnd w:id="4"/>
    <w:p w14:paraId="279F560C">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对于对校园、商超、小微商店、小餐饮、中小食品企业等监管不规范问题，我局积极采取四项措施，规范食品安全监管。一是落实食品安全“两个责任”,完善食品安全体制机制。建立健全分层分级、精准防控、末端发力、终端见效工作机制，实行食品生产经营单位四级分包、“三清单一承诺”制度，大力推进食品安全“两个责任”落地落实。二是强化全程监管，提高治理能力。加强食品生产监管。制定监督检查计划，建立以企业自查为前提，以日常监督检查管理为基础，以“双随机、一公开”监管、飞行检查为重点，以体系检查为补充的全覆盖监督检查机制，实施企业量化分级，科学评定企业风险等级。加强食品流通监管。全面推进食品流通“四化建设”,促进食品经营单位提档升级，夯实监管基础。落实餐饮风险等级管理，总体量化分级评定率达100%。打击食品违法犯罪，守牢安全底线。以“四个最严”织牢食品安全防护网，保持对食品安全违法行为“零容忍”的态度和“高压严打”的态势，切实守牢食品安全底线。三是聚焦关键领域，织密食品安全网。针对学校食堂、网络餐饮、大型商超、肉制品和小作坊等作为整治的重点领域，开展专项整治行动。开展学校食堂食品安全集中整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检查学校食堂128家次，下达《当场行政处罚决定书》47份，下达限期整改通知书47份，已完成整改47家，立案查处1起。开展肉制品专项行动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检查肉制品生产经营单位381家次，下达责令改正通知书13家次。紧盯网络餐饮食品安全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约谈美团、饿了么第三方平台代理机构和部分入网餐饮商户。开展流动摊贩专项整治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城管、教育、公安、乡镇政府联合开展校园周边食品摊贩整治工作，对学校周边流动商贩进行全面清查，建立管理台账，规范食品小摊点管理，引导不完全具备食品加工经营条件的食品小摊点改善加工经营条件，取得市场准入资格，依法取缔拒不接受整改的食品流动小摊点。四是坚持问题导向，强化监督抽检。制定年度食品抽检计划，创新开展“‘你点我检’食品检验群众意见建议征集”活动，根据公众“点”的情况，实施“检”的监督，对群众关注度高的熟肉、油炸面制品、炸制用油、馒头、面条、豆芽等开展专项抽样。</w:t>
      </w:r>
    </w:p>
    <w:p w14:paraId="4DBA6811">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11.特种设备安全风险存在隐患。</w:t>
      </w:r>
    </w:p>
    <w:p w14:paraId="1394824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目前，我县部分小区存在未经检验、未办理使用登记、未办理过户手续、无电梯维保单位的情况，现将问题产生原因汇报如下：张庄安置房小区电梯未办理过户手续。该小区共有47台电梯，在中铁城建集团有限公司汤阴分公司名下办理了使用登记，经过县工作组积极协调，于2024年9月进行了定期检验，目前，由于现在小区接的临时电，整改需要投入资金，涉及到政府与开发商之间的资金问题，开发商不再投入资金，正式电未接通，张庄村委会不接收电梯管理，造成该小区电梯无法办理过户手续。韩庄新社区电梯未经定期检验、未办理过户手续、无电梯维保单位。该小区共有13部电梯，在汤阴县韩庄镇人民政府（韩庄新社区A区）名下办理了使用登记，由于是拆迁安置房，韩庄镇政府承诺3年不用交费用，现在时间已过3年，镇政府交由庵上村委会接管，现庵上村委会不接收，物业费不好收，目前该小区电梯还在汤阴县韩庄镇人民政府（韩庄新社区A区）名下，已超过检验的有效期，也没有电梯维保单位。</w:t>
      </w:r>
    </w:p>
    <w:p w14:paraId="55359D1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杨村新社区电梯未经定期检验、未办理使用登记。该小区共有56台电梯，其中住宅楼使用51台电梯，另有物业办公楼2台、幼儿园1台、商铺2台目前还未使用，经过县工作组积极协调，现已由1家物业公司进入该小区进行管理，由于涉及到电梯有些问题需要整改和电梯未经检验，目前该物业公司还未正式接收电梯的使用管理。该小区也是拆迁安置房，白营镇政府承诺3年不用交费用，开发是汤阴县城乡一体化发展有限公司，建设方是中铁六局，也涉及到资金问题，中铁六局不愿意再投入资金</w:t>
      </w:r>
      <w:r>
        <w:rPr>
          <w:rFonts w:hint="eastAsia" w:ascii="仿宋_GB2312" w:hAnsi="仿宋_GB2312" w:eastAsia="仿宋_GB2312" w:cs="仿宋_GB2312"/>
          <w:sz w:val="32"/>
          <w:szCs w:val="32"/>
          <w:lang w:eastAsia="zh-CN"/>
        </w:rPr>
        <w:t>。</w:t>
      </w:r>
    </w:p>
    <w:p w14:paraId="0890880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业公园里小区电梯未经定期检验、未办理过户手续。该小区共有26台电梯，开发商为汤阴建业城市建设有限公司，现在河南建业物业管理有限公司安阳分公司名下办理使用登记，开发商汤阴建业城市建设有限公司交房时承诺，小区配套设施不建成不收物业费，导致物业公司“河南建业物业管理有限公司安阳分公司”收不到物业费，现已退出物业管理，县工作组进入后，经过做工作，现汤阴县白营镇建业公园里小区物业管理委员会聘请了一家物业公司即“安阳市博大物业管理有限责任公司汤阴县分公司”进行管理，由于前几年下大雨，造成一些电梯损坏不能使用，因资金问题，一直未更换配件，新物业进入后，经过工作组协调，现已更换有关电梯配件，电梯已具备检验检测，电梯检验费用县工作组正在协调中，待电梯检验合格后，方可办理电梯过户手续。</w:t>
      </w:r>
    </w:p>
    <w:p w14:paraId="27641C8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针对目前我县部分存在隐患的小区电梯，存在未经检验、未办理使用登记、未办理过户手续、无电梯维保单位的情况，我局积极与镇政府及与县工作组联系沟通，争取早日解决问题。</w:t>
      </w:r>
    </w:p>
    <w:p w14:paraId="65AB0A0D">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县级产品质量安全监督抽检覆盖率低。</w:t>
      </w:r>
    </w:p>
    <w:p w14:paraId="4CF21E37">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一是向县局打抽检请示，将工业产品监督抽查经费列入财政预算，保障监督抽查产品范围，提高抽查覆盖面。二是加强企业宣传指导，督促企业落实主体责任，加强不合格产品后处理等宣传工作，不合格后处理完成率达100%，树立企业质量意识。</w:t>
      </w:r>
    </w:p>
    <w:p w14:paraId="79658C19">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auto"/>
          <w:sz w:val="32"/>
          <w:szCs w:val="32"/>
          <w:lang w:val="en-US" w:eastAsia="zh-CN"/>
        </w:rPr>
        <w:t>13.行政审批业务能力有待提高。</w:t>
      </w:r>
      <w:r>
        <w:rPr>
          <w:rFonts w:hint="eastAsia" w:ascii="仿宋_GB2312" w:hAnsi="仿宋_GB2312" w:eastAsia="仿宋_GB2312" w:cs="仿宋_GB2312"/>
          <w:color w:val="auto"/>
          <w:sz w:val="32"/>
          <w:szCs w:val="32"/>
          <w:lang w:val="en-US" w:eastAsia="zh-CN"/>
        </w:rPr>
        <w:t>一是行政</w:t>
      </w:r>
      <w:r>
        <w:rPr>
          <w:rFonts w:hint="eastAsia" w:ascii="仿宋_GB2312" w:hAnsi="仿宋_GB2312" w:eastAsia="仿宋_GB2312" w:cs="仿宋_GB2312"/>
          <w:sz w:val="32"/>
          <w:szCs w:val="32"/>
          <w:lang w:val="en-US" w:eastAsia="zh-CN"/>
        </w:rPr>
        <w:t>许可效能有待提高。二是业务股室对基层培训指导不够。</w:t>
      </w:r>
    </w:p>
    <w:p w14:paraId="0D0B767C">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制定了系统的培训计划，定期组织窗口工作人员参加行政审批业务技能培训。</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完善了一次性告知制度，严格按照办事指南进行一次性告知。</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业务股室优化了工作安排，新增了4名工作人员，制定现场指导计划，定期深入基层所进行现场指导。</w:t>
      </w:r>
    </w:p>
    <w:p w14:paraId="44392587">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14.消费维权工作存在不足。</w:t>
      </w:r>
    </w:p>
    <w:p w14:paraId="3000FF12">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严格筛选职业打假人，针对于大量短期投诉的职业打假人由12315投诉中心研判并批量处理，已批量处理20余件。</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通过全国12315消费者维权日为契机，召集商家参展，现场培训，赠送学习资料。</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五县四区市场监管局建立交流群，梳理统计职业打假人名单与案件，与各相关部门形成联动机制。</w:t>
      </w:r>
    </w:p>
    <w:p w14:paraId="7AD051EB">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15.行文发文不严谨。</w:t>
      </w:r>
    </w:p>
    <w:p w14:paraId="61864D67">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出台了行文发文规范制度，对文件格式、字体字号等细节作出明确规定。</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明确行文发文流程，制定从拟稿、审核、签发、校对到印发的完整流程，每个环节都明确责任人。</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强化“三审三校”制度落实。</w:t>
      </w:r>
    </w:p>
    <w:p w14:paraId="491AF6E1">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16.公章使用不规范。</w:t>
      </w:r>
    </w:p>
    <w:p w14:paraId="465740CB">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完善了</w:t>
      </w:r>
      <w:r>
        <w:rPr>
          <w:rFonts w:hint="eastAsia" w:ascii="仿宋_GB2312" w:hAnsi="仿宋_GB2312" w:eastAsia="仿宋_GB2312" w:cs="仿宋_GB2312"/>
          <w:sz w:val="32"/>
          <w:szCs w:val="32"/>
          <w:lang w:eastAsia="zh-CN"/>
        </w:rPr>
        <w:t>印</w:t>
      </w:r>
      <w:r>
        <w:rPr>
          <w:rFonts w:hint="eastAsia" w:ascii="仿宋_GB2312" w:hAnsi="仿宋_GB2312" w:eastAsia="仿宋_GB2312" w:cs="仿宋_GB2312"/>
          <w:sz w:val="32"/>
          <w:szCs w:val="32"/>
        </w:rPr>
        <w:t>章管理制度，出台印章管理办法；</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严格使用流程管控，建立使用台账</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加强监督检查，不定期对公章使用情况进行抽查，及时发现和纠正不规范行为。</w:t>
      </w:r>
    </w:p>
    <w:p w14:paraId="22C1B0E3">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17.公车使用存在安全隐患。</w:t>
      </w:r>
    </w:p>
    <w:p w14:paraId="60C82870">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加强</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公车使用管理。</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加强了对达到报废标准仍需使用的车辆安全监测。</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报废了无法使用的电动执法车辆12辆。</w:t>
      </w:r>
      <w:r>
        <w:rPr>
          <w:rFonts w:hint="eastAsia" w:ascii="仿宋_GB2312" w:hAnsi="仿宋_GB2312" w:eastAsia="仿宋_GB2312" w:cs="仿宋_GB2312"/>
          <w:sz w:val="32"/>
          <w:szCs w:val="32"/>
          <w:lang w:eastAsia="zh-CN"/>
        </w:rPr>
        <w:t>四是</w:t>
      </w:r>
      <w:r>
        <w:rPr>
          <w:rFonts w:hint="eastAsia" w:ascii="仿宋_GB2312" w:hAnsi="仿宋_GB2312" w:eastAsia="仿宋_GB2312" w:cs="仿宋_GB2312"/>
          <w:sz w:val="32"/>
          <w:szCs w:val="32"/>
        </w:rPr>
        <w:t>更新了4辆执法车辆。</w:t>
      </w:r>
    </w:p>
    <w:p w14:paraId="4E5AA6EE">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（四）党组织建设有短板，组织力和战斗力有待提升</w:t>
      </w:r>
    </w:p>
    <w:p w14:paraId="0FD89C91">
      <w:pPr>
        <w:keepNext w:val="0"/>
        <w:keepLines w:val="0"/>
        <w:pageBreakBefore w:val="0"/>
        <w:widowControl/>
        <w:numPr>
          <w:ilvl w:val="0"/>
          <w:numId w:val="0"/>
        </w:numPr>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1.党组班子进取精神弱化。</w:t>
      </w:r>
    </w:p>
    <w:p w14:paraId="59133821">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2025年2月6日，县市场监管局党组书记经组织部门任命，由崔玉彬同志担任。</w:t>
      </w:r>
    </w:p>
    <w:p w14:paraId="0FD8675E">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2.“三会一课”记录不规范。</w:t>
      </w:r>
      <w:r>
        <w:rPr>
          <w:rFonts w:hint="eastAsia" w:ascii="仿宋_GB2312" w:hAnsi="仿宋_GB2312" w:eastAsia="仿宋_GB2312" w:cs="仿宋_GB2312"/>
          <w:sz w:val="32"/>
          <w:szCs w:val="32"/>
          <w:lang w:val="en-US" w:eastAsia="zh-CN"/>
        </w:rPr>
        <w:t>一是记录内容混乱，前后内容不符。二是未能有效按计划开展党组织活动。三是评议党员不规范。四是未开展创新性活动。五是谈心谈话流于形式。</w:t>
      </w:r>
    </w:p>
    <w:p w14:paraId="60A7F3E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加强党组织管理，规范“三会一课”记录管理，强化审核，解决了记录内容混乱问题；</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严格按照计划开展党组织活动；</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优化评议、创新活动并狠抓谈心谈话，目前已完成对青年干部的谈心谈话。</w:t>
      </w:r>
    </w:p>
    <w:p w14:paraId="4926A328">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w:t>
      </w:r>
      <w:bookmarkStart w:id="5" w:name="OLE_LINK18"/>
      <w:r>
        <w:rPr>
          <w:rFonts w:hint="eastAsia" w:ascii="仿宋_GB2312" w:hAnsi="仿宋_GB2312" w:eastAsia="仿宋_GB2312" w:cs="仿宋_GB2312"/>
          <w:b/>
          <w:bCs/>
          <w:sz w:val="32"/>
          <w:szCs w:val="32"/>
          <w:lang w:val="en-US" w:eastAsia="zh-CN"/>
        </w:rPr>
        <w:t>党组织生活不严肃</w:t>
      </w:r>
      <w:bookmarkEnd w:id="5"/>
      <w:r>
        <w:rPr>
          <w:rFonts w:hint="eastAsia" w:ascii="仿宋_GB2312" w:hAnsi="仿宋_GB2312" w:eastAsia="仿宋_GB2312" w:cs="仿宋_GB2312"/>
          <w:b/>
          <w:bCs/>
          <w:sz w:val="32"/>
          <w:szCs w:val="32"/>
          <w:lang w:val="en-US" w:eastAsia="zh-CN"/>
        </w:rPr>
        <w:t>。</w:t>
      </w:r>
    </w:p>
    <w:p w14:paraId="42FE8B3F">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强化政治属性教育，将《关于新形势下党内政治生活的若干准则》列为必学内容。</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实施“关键少数”引领工程，班子成员带头以普通党员身份参加组织生活，每年至少讲1次专题党课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2025年4月21日，党组书记为全体干部职工讲党课</w:t>
      </w:r>
      <w:r>
        <w:rPr>
          <w:rFonts w:hint="eastAsia" w:ascii="仿宋_GB2312" w:hAnsi="仿宋_GB2312" w:eastAsia="仿宋_GB2312" w:cs="仿宋_GB2312"/>
          <w:sz w:val="32"/>
          <w:szCs w:val="32"/>
        </w:rPr>
        <w:t>。</w:t>
      </w:r>
    </w:p>
    <w:p w14:paraId="3F11C7AF">
      <w:pPr>
        <w:pStyle w:val="7"/>
        <w:keepNext w:val="0"/>
        <w:keepLines w:val="0"/>
        <w:pageBreakBefore w:val="0"/>
        <w:kinsoku/>
        <w:wordWrap/>
        <w:overflowPunct/>
        <w:topLinePunct w:val="0"/>
        <w:bidi w:val="0"/>
        <w:adjustRightInd w:val="0"/>
        <w:snapToGrid w:val="0"/>
        <w:spacing w:line="600" w:lineRule="exact"/>
        <w:ind w:right="0" w:rightChars="0" w:firstLine="643" w:firstLineChars="200"/>
        <w:jc w:val="left"/>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4.退休党员管理缺位。</w:t>
      </w:r>
    </w:p>
    <w:p w14:paraId="2849B366">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现已整改到位。一是召开了局党组专题会议，针对党员管理存在问题，研究制定了机关党员管理制度，加强机关党员管理；二是安排专人负责对局退休党员实际情况进行了摸底，并根据退休党员实际情况，劝导7名长期在外地生活的退休党员将组织关系转入生活所在地，明确要求除6名常年患病的退休党员外，其他身体状况允许的退休党员同志按要求参与党组织生活；三是安排专人负责在今后每次召开组织生活会议前，通知退休党员参会，并做好登记工作，办公室负责抓好改落实，确保整改取得长效。</w:t>
      </w:r>
    </w:p>
    <w:p w14:paraId="7BC32E87">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5.支部党员管理不善。</w:t>
      </w:r>
    </w:p>
    <w:p w14:paraId="25BC8426">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color w:val="000000"/>
          <w:kern w:val="2"/>
          <w:sz w:val="32"/>
          <w:szCs w:val="32"/>
          <w:lang w:val="en-US" w:eastAsia="zh-CN" w:bidi="ar-SA"/>
        </w:rPr>
        <w:t>一是召开了局党组专题会议，针对党员管理存在问题，研究制定了机关党员管理制度，加强机关党员管理；二是对蔡海峰同志进行了约谈提醒，督促蔡海峰与党组织关系所在地联系，确定其党员身份，并将党组织关系调入汤阴县市场监管局；三是蔡海峰同志多次到党组织关系所在地内黄县协调办理转移手续，但因其党员材料曾被遗失导致多年未录入系统，内黄县组织部拒绝将其党员信息重新录入系统，无法按时将组织关系调入我局，蔡海峰同志关于该情况已做出了情况说明，下一步我局将积极督促其再次与党组织关系所在地沟通协商，尽早尽快将党组织关系落实到位。</w:t>
      </w:r>
    </w:p>
    <w:p w14:paraId="6541F968">
      <w:pPr>
        <w:keepNext w:val="0"/>
        <w:keepLines w:val="0"/>
        <w:pageBreakBefore w:val="0"/>
        <w:widowControl/>
        <w:numPr>
          <w:ilvl w:val="0"/>
          <w:numId w:val="0"/>
        </w:numPr>
        <w:tabs>
          <w:tab w:val="left" w:pos="312"/>
        </w:tabs>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6.发展党员程序不规范。</w:t>
      </w:r>
    </w:p>
    <w:p w14:paraId="6FAE01A8">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color w:val="000000"/>
          <w:kern w:val="2"/>
          <w:sz w:val="32"/>
          <w:szCs w:val="32"/>
          <w:lang w:val="en-US" w:eastAsia="zh-CN" w:bidi="ar-SA"/>
        </w:rPr>
        <w:t>对照《发展党员工作细则》5阶段25步骤标准，重点核查入党申请书递交时间逻辑，细化流程管控，强化动态跟踪管理，建立四级责任体系，落实“培养联系人初审、支部书记主审、组织委员专审、党组书记终审”机制。</w:t>
      </w:r>
    </w:p>
    <w:p w14:paraId="4CBCBAF1">
      <w:pPr>
        <w:pStyle w:val="7"/>
        <w:keepNext w:val="0"/>
        <w:keepLines w:val="0"/>
        <w:pageBreakBefore w:val="0"/>
        <w:numPr>
          <w:ilvl w:val="0"/>
          <w:numId w:val="0"/>
        </w:numPr>
        <w:kinsoku/>
        <w:wordWrap/>
        <w:overflowPunct/>
        <w:topLinePunct w:val="0"/>
        <w:bidi w:val="0"/>
        <w:adjustRightInd w:val="0"/>
        <w:snapToGrid w:val="0"/>
        <w:spacing w:line="600" w:lineRule="exact"/>
        <w:ind w:right="0" w:rightChars="0" w:firstLine="643" w:firstLineChars="200"/>
        <w:jc w:val="left"/>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7.</w:t>
      </w:r>
      <w:bookmarkStart w:id="6" w:name="OLE_LINK19"/>
      <w:r>
        <w:rPr>
          <w:rFonts w:hint="eastAsia" w:ascii="仿宋_GB2312" w:hAnsi="仿宋_GB2312" w:eastAsia="仿宋_GB2312" w:cs="仿宋_GB2312"/>
          <w:b/>
          <w:bCs/>
          <w:sz w:val="32"/>
          <w:szCs w:val="32"/>
          <w:lang w:val="en-US" w:eastAsia="zh-CN"/>
        </w:rPr>
        <w:t>新发展党员档案材料不完善</w:t>
      </w:r>
      <w:bookmarkEnd w:id="6"/>
      <w:r>
        <w:rPr>
          <w:rFonts w:hint="eastAsia" w:ascii="仿宋_GB2312" w:hAnsi="仿宋_GB2312" w:eastAsia="仿宋_GB2312" w:cs="仿宋_GB2312"/>
          <w:b/>
          <w:bCs/>
          <w:sz w:val="32"/>
          <w:szCs w:val="32"/>
          <w:lang w:val="en-US" w:eastAsia="zh-CN"/>
        </w:rPr>
        <w:t>。</w:t>
      </w:r>
    </w:p>
    <w:p w14:paraId="60935CC5">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color w:val="000000"/>
          <w:kern w:val="2"/>
          <w:sz w:val="32"/>
          <w:szCs w:val="32"/>
          <w:lang w:val="en-US" w:eastAsia="zh-CN" w:bidi="ar-SA"/>
        </w:rPr>
        <w:t>安排专人按党员档案标准逐项比对，已补齐新发展党员档案中缺失的材料 ；党务干部认真参加了县委组织部的党务干部培训，提升党务干部水平。</w:t>
      </w:r>
    </w:p>
    <w:p w14:paraId="2D9F5716">
      <w:pPr>
        <w:keepNext w:val="0"/>
        <w:keepLines w:val="0"/>
        <w:pageBreakBefore w:val="0"/>
        <w:widowControl/>
        <w:numPr>
          <w:ilvl w:val="0"/>
          <w:numId w:val="0"/>
        </w:numPr>
        <w:tabs>
          <w:tab w:val="left" w:pos="312"/>
        </w:tabs>
        <w:kinsoku/>
        <w:wordWrap/>
        <w:overflowPunct/>
        <w:topLinePunct w:val="0"/>
        <w:autoSpaceDE/>
        <w:autoSpaceDN/>
        <w:bidi w:val="0"/>
        <w:adjustRightInd w:val="0"/>
        <w:snapToGrid w:val="0"/>
        <w:spacing w:after="0" w:line="600" w:lineRule="exact"/>
        <w:ind w:right="0" w:rightChars="0" w:firstLine="643"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8.</w:t>
      </w:r>
      <w:bookmarkStart w:id="7" w:name="OLE_LINK21"/>
      <w:r>
        <w:rPr>
          <w:rFonts w:hint="eastAsia" w:ascii="仿宋_GB2312" w:hAnsi="仿宋_GB2312" w:eastAsia="仿宋_GB2312" w:cs="仿宋_GB2312"/>
          <w:b/>
          <w:bCs/>
          <w:sz w:val="32"/>
          <w:szCs w:val="32"/>
          <w:lang w:val="en-US" w:eastAsia="zh-CN"/>
        </w:rPr>
        <w:t>党费收缴不合理。</w:t>
      </w:r>
      <w:r>
        <w:rPr>
          <w:rFonts w:hint="eastAsia" w:ascii="仿宋_GB2312" w:hAnsi="仿宋_GB2312" w:eastAsia="仿宋_GB2312" w:cs="仿宋_GB2312"/>
          <w:sz w:val="32"/>
          <w:szCs w:val="32"/>
          <w:lang w:val="en-US" w:eastAsia="zh-CN"/>
        </w:rPr>
        <w:t>一是党费收缴不规范。二是个别党员长期未缴纳党费。</w:t>
      </w:r>
      <w:bookmarkEnd w:id="7"/>
    </w:p>
    <w:p w14:paraId="7A606392">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color w:val="000000"/>
          <w:kern w:val="2"/>
          <w:sz w:val="32"/>
          <w:szCs w:val="32"/>
          <w:lang w:val="en-US" w:eastAsia="zh-CN" w:bidi="ar-SA"/>
        </w:rPr>
        <w:t>局党务干部认真参加县委组织部举办的党务干部业务培训班，并严格按照业务规范开展工作。严格按《党费收缴规定》划分计算基数和比例，动态跟踪工资变动，目前党费收缴严格按规定，每月收缴当月党费，并按时上交。</w:t>
      </w:r>
    </w:p>
    <w:p w14:paraId="12CDC5C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p>
    <w:p w14:paraId="4F4DDE45">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rPr>
      </w:pPr>
    </w:p>
    <w:p w14:paraId="363BDD29">
      <w:pPr>
        <w:keepNext w:val="0"/>
        <w:keepLines w:val="0"/>
        <w:pageBreakBefore w:val="0"/>
        <w:widowControl w:val="0"/>
        <w:kinsoku/>
        <w:wordWrap/>
        <w:overflowPunct/>
        <w:topLinePunct w:val="0"/>
        <w:autoSpaceDE/>
        <w:autoSpaceDN/>
        <w:bidi w:val="0"/>
        <w:adjustRightInd/>
        <w:snapToGrid/>
        <w:spacing w:line="600" w:lineRule="exact"/>
        <w:ind w:firstLine="4160" w:firstLineChars="13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2"/>
          <w:sz w:val="32"/>
          <w:szCs w:val="32"/>
          <w:lang w:val="en-US" w:eastAsia="zh-CN" w:bidi="ar-SA"/>
        </w:rPr>
        <w:t>中共汤阴县市场监督管理局党组</w:t>
      </w:r>
    </w:p>
    <w:p w14:paraId="3EC7CA2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w:t>
      </w:r>
    </w:p>
    <w:sectPr>
      <w:footerReference r:id="rId3" w:type="default"/>
      <w:pgSz w:w="11906" w:h="16838"/>
      <w:pgMar w:top="1984" w:right="1417" w:bottom="1701" w:left="164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CESI仿宋-GB13000">
    <w:altName w:val="仿宋"/>
    <w:panose1 w:val="02000500000000000000"/>
    <w:charset w:val="86"/>
    <w:family w:val="auto"/>
    <w:pitch w:val="default"/>
    <w:sig w:usb0="00000000" w:usb1="00000000" w:usb2="00000016" w:usb3="00000000" w:csb0="0004000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E32CF">
    <w:pPr>
      <w:pStyle w:val="3"/>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0AEC1A">
                          <w:pPr>
                            <w:pStyle w:val="3"/>
                            <w:rPr>
                              <w:sz w:val="28"/>
                              <w:szCs w:val="28"/>
                            </w:rPr>
                          </w:pPr>
                          <w:r>
                            <w:rPr>
                              <w:rFonts w:hint="eastAsia"/>
                              <w:sz w:val="28"/>
                              <w:szCs w:val="28"/>
                            </w:rPr>
                            <w:t xml:space="preserve">— </w:t>
                          </w:r>
                          <w:r>
                            <w:rPr>
                              <w:rFonts w:hint="default" w:ascii="Tahoma" w:hAnsi="Tahoma" w:cs="Tahoma"/>
                              <w:sz w:val="28"/>
                              <w:szCs w:val="28"/>
                            </w:rPr>
                            <w:fldChar w:fldCharType="begin"/>
                          </w:r>
                          <w:r>
                            <w:rPr>
                              <w:rFonts w:hint="default" w:ascii="Tahoma" w:hAnsi="Tahoma" w:cs="Tahoma"/>
                              <w:sz w:val="28"/>
                              <w:szCs w:val="28"/>
                            </w:rPr>
                            <w:instrText xml:space="preserve"> PAGE  \* MERGEFORMAT </w:instrText>
                          </w:r>
                          <w:r>
                            <w:rPr>
                              <w:rFonts w:hint="default" w:ascii="Tahoma" w:hAnsi="Tahoma" w:cs="Tahoma"/>
                              <w:sz w:val="28"/>
                              <w:szCs w:val="28"/>
                            </w:rPr>
                            <w:fldChar w:fldCharType="separate"/>
                          </w:r>
                          <w:r>
                            <w:rPr>
                              <w:rFonts w:hint="default" w:ascii="Tahoma" w:hAnsi="Tahoma" w:cs="Tahoma"/>
                              <w:sz w:val="28"/>
                              <w:szCs w:val="28"/>
                            </w:rPr>
                            <w:t>19</w:t>
                          </w:r>
                          <w:r>
                            <w:rPr>
                              <w:rFonts w:hint="default" w:ascii="Tahoma" w:hAnsi="Tahoma" w:cs="Tahoma"/>
                              <w:sz w:val="28"/>
                              <w:szCs w:val="28"/>
                            </w:rPr>
                            <w:fldChar w:fldCharType="end"/>
                          </w:r>
                          <w:r>
                            <w:rPr>
                              <w:rFonts w:hint="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0AEC1A">
                    <w:pPr>
                      <w:pStyle w:val="3"/>
                      <w:rPr>
                        <w:sz w:val="28"/>
                        <w:szCs w:val="28"/>
                      </w:rPr>
                    </w:pPr>
                    <w:r>
                      <w:rPr>
                        <w:rFonts w:hint="eastAsia"/>
                        <w:sz w:val="28"/>
                        <w:szCs w:val="28"/>
                      </w:rPr>
                      <w:t xml:space="preserve">— </w:t>
                    </w:r>
                    <w:r>
                      <w:rPr>
                        <w:rFonts w:hint="default" w:ascii="Tahoma" w:hAnsi="Tahoma" w:cs="Tahoma"/>
                        <w:sz w:val="28"/>
                        <w:szCs w:val="28"/>
                      </w:rPr>
                      <w:fldChar w:fldCharType="begin"/>
                    </w:r>
                    <w:r>
                      <w:rPr>
                        <w:rFonts w:hint="default" w:ascii="Tahoma" w:hAnsi="Tahoma" w:cs="Tahoma"/>
                        <w:sz w:val="28"/>
                        <w:szCs w:val="28"/>
                      </w:rPr>
                      <w:instrText xml:space="preserve"> PAGE  \* MERGEFORMAT </w:instrText>
                    </w:r>
                    <w:r>
                      <w:rPr>
                        <w:rFonts w:hint="default" w:ascii="Tahoma" w:hAnsi="Tahoma" w:cs="Tahoma"/>
                        <w:sz w:val="28"/>
                        <w:szCs w:val="28"/>
                      </w:rPr>
                      <w:fldChar w:fldCharType="separate"/>
                    </w:r>
                    <w:r>
                      <w:rPr>
                        <w:rFonts w:hint="default" w:ascii="Tahoma" w:hAnsi="Tahoma" w:cs="Tahoma"/>
                        <w:sz w:val="28"/>
                        <w:szCs w:val="28"/>
                      </w:rPr>
                      <w:t>19</w:t>
                    </w:r>
                    <w:r>
                      <w:rPr>
                        <w:rFonts w:hint="default" w:ascii="Tahoma" w:hAnsi="Tahoma" w:cs="Tahoma"/>
                        <w:sz w:val="28"/>
                        <w:szCs w:val="28"/>
                      </w:rPr>
                      <w:fldChar w:fldCharType="end"/>
                    </w:r>
                    <w:r>
                      <w:rPr>
                        <w:rFonts w:hint="eastAsia"/>
                        <w:sz w:val="28"/>
                        <w:szCs w:val="28"/>
                      </w:rPr>
                      <w:t xml:space="preserve"> —</w:t>
                    </w:r>
                  </w:p>
                </w:txbxContent>
              </v:textbox>
            </v:shape>
          </w:pict>
        </mc:Fallback>
      </mc:AlternateContent>
    </w:r>
  </w:p>
  <w:p w14:paraId="07882191">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EE4217"/>
    <w:multiLevelType w:val="singleLevel"/>
    <w:tmpl w:val="CFEE4217"/>
    <w:lvl w:ilvl="0" w:tentative="0">
      <w:start w:val="1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B06E6"/>
    <w:rsid w:val="03004097"/>
    <w:rsid w:val="045D3D81"/>
    <w:rsid w:val="07716575"/>
    <w:rsid w:val="145E3F74"/>
    <w:rsid w:val="212078E8"/>
    <w:rsid w:val="24373239"/>
    <w:rsid w:val="39337FCD"/>
    <w:rsid w:val="5294562E"/>
    <w:rsid w:val="5F7B31C7"/>
    <w:rsid w:val="5FB16F7F"/>
    <w:rsid w:val="608A1A1F"/>
    <w:rsid w:val="626B4FEC"/>
    <w:rsid w:val="63A33443"/>
    <w:rsid w:val="69AC6EAA"/>
    <w:rsid w:val="71B608C6"/>
    <w:rsid w:val="787E5DCF"/>
    <w:rsid w:val="7EF96F75"/>
    <w:rsid w:val="7FAF57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index 5"/>
    <w:basedOn w:val="1"/>
    <w:next w:val="1"/>
    <w:qFormat/>
    <w:uiPriority w:val="0"/>
    <w:pPr>
      <w:ind w:left="800" w:leftChars="8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Default"/>
    <w:basedOn w:val="8"/>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8">
    <w:name w:val="正文1"/>
    <w:qFormat/>
    <w:uiPriority w:val="0"/>
    <w:pPr>
      <w:widowControl w:val="0"/>
      <w:suppressAutoHyphens w:val="0"/>
      <w:bidi w:val="0"/>
      <w:spacing w:beforeLines="0" w:beforeAutospacing="0" w:afterLines="0" w:afterAutospacing="0"/>
      <w:jc w:val="both"/>
    </w:pPr>
    <w:rPr>
      <w:rFonts w:ascii="Calibri" w:hAnsi="Calibri" w:eastAsia="宋体" w:cs="Times New Roman"/>
      <w:color w:val="auto"/>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6059</Words>
  <Characters>6150</Characters>
  <Lines>0</Lines>
  <Paragraphs>0</Paragraphs>
  <TotalTime>22</TotalTime>
  <ScaleCrop>false</ScaleCrop>
  <LinksUpToDate>false</LinksUpToDate>
  <CharactersWithSpaces>6156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2021-09-08T08:31:00Z</dcterms:created>
  <dc:creator>Administrator</dc:creator>
  <cp:lastModifiedBy>Administrator</cp:lastModifiedBy>
  <cp:lastPrinted>2025-05-26T09:18:00Z</cp:lastPrinted>
  <dcterms:modified xsi:type="dcterms:W3CDTF">2025-08-28T03:23:50Z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416EC527BD344B2B9390C1794B2C9269</vt:lpwstr>
  </property>
  <property fmtid="{D5CDD505-2E9C-101B-9397-08002B2CF9AE}" pid="4" name="KSOTemplateDocerSaveRecord">
    <vt:lpwstr>eyJoZGlkIjoiOGVjNTQ2MTJmZDE2MGRhODFkYjJlMjMwOTgyYjIxMmMifQ==</vt:lpwstr>
  </property>
</Properties>
</file>