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640" w:lineRule="exact"/>
        <w:jc w:val="center"/>
        <w:rPr>
          <w:rFonts w:hint="eastAsia" w:ascii="方正小标宋简体" w:hAnsi="方正小标宋简体" w:eastAsia="方正小标宋简体" w:cs="方正小标宋简体"/>
          <w:spacing w:val="-22"/>
        </w:rPr>
      </w:pPr>
      <w:bookmarkStart w:id="0" w:name="_Toc9441"/>
      <w:r>
        <w:rPr>
          <w:rFonts w:hint="eastAsia" w:ascii="方正小标宋简体" w:hAnsi="方正小标宋简体" w:eastAsia="方正小标宋简体" w:cs="方正小标宋简体"/>
          <w:spacing w:val="-22"/>
        </w:rPr>
        <w:t>中共红旗渠·林虑山风景名胜区管理委员会党组</w:t>
      </w:r>
    </w:p>
    <w:bookmarkEnd w:id="0"/>
    <w:p>
      <w:pPr>
        <w:adjustRightInd w:val="0"/>
        <w:snapToGrid w:val="0"/>
        <w:spacing w:line="640" w:lineRule="exact"/>
        <w:jc w:val="center"/>
        <w:rPr>
          <w:rFonts w:hint="eastAsia" w:ascii="方正小标宋简体" w:hAnsi="方正小标宋简体" w:eastAsia="方正小标宋简体" w:cs="方正小标宋简体"/>
        </w:rPr>
      </w:pPr>
      <w:bookmarkStart w:id="1" w:name="_Toc6160"/>
      <w:r>
        <w:rPr>
          <w:rFonts w:hint="eastAsia" w:ascii="方正小标宋简体" w:hAnsi="方正小标宋简体" w:eastAsia="方正小标宋简体" w:cs="方正小标宋简体"/>
        </w:rPr>
        <w:t>关于巡察</w:t>
      </w:r>
      <w:bookmarkEnd w:id="1"/>
      <w:bookmarkStart w:id="2" w:name="_Toc29396"/>
      <w:r>
        <w:rPr>
          <w:rFonts w:hint="eastAsia" w:ascii="方正小标宋简体" w:hAnsi="方正小标宋简体" w:eastAsia="方正小标宋简体" w:cs="方正小标宋简体"/>
        </w:rPr>
        <w:t>整改情况的</w:t>
      </w:r>
      <w:bookmarkEnd w:id="2"/>
      <w:r>
        <w:rPr>
          <w:rFonts w:hint="eastAsia" w:ascii="方正小标宋简体" w:hAnsi="方正小标宋简体" w:eastAsia="方正小标宋简体" w:cs="方正小标宋简体"/>
        </w:rPr>
        <w:t>通报</w:t>
      </w:r>
    </w:p>
    <w:p>
      <w:pPr>
        <w:spacing w:line="560" w:lineRule="exact"/>
        <w:ind w:firstLine="645"/>
        <w:rPr>
          <w:rFonts w:ascii="仿宋_GB2312" w:eastAsia="仿宋_GB2312" w:cs="Times New Roman"/>
          <w:sz w:val="32"/>
          <w:szCs w:val="32"/>
        </w:rPr>
      </w:pPr>
    </w:p>
    <w:p>
      <w:pPr>
        <w:pStyle w:val="2"/>
        <w:widowControl/>
        <w:shd w:val="clear" w:color="auto" w:fill="auto"/>
        <w:spacing w:before="0" w:beforeAutospacing="0" w:after="0" w:afterAutospacing="0" w:line="580" w:lineRule="exact"/>
        <w:ind w:left="0" w:leftChars="0" w:right="0" w:firstLine="640" w:firstLineChars="200"/>
        <w:jc w:val="both"/>
        <w:textAlignment w:val="auto"/>
        <w:rPr>
          <w:rFonts w:ascii="仿宋_GB2312" w:hAnsi="仿宋_GB2312" w:eastAsia="仿宋_GB2312" w:cs="仿宋_GB2312"/>
          <w:sz w:val="32"/>
          <w:szCs w:val="32"/>
        </w:rPr>
      </w:pPr>
      <w:bookmarkStart w:id="3" w:name="_Toc12161"/>
      <w:r>
        <w:rPr>
          <w:rFonts w:ascii="仿宋_GB2312" w:hAnsi="Times New Roman" w:eastAsia="仿宋_GB2312"/>
          <w:b w:val="0"/>
          <w:bCs w:val="0"/>
          <w:kern w:val="2"/>
          <w:sz w:val="32"/>
          <w:szCs w:val="32"/>
        </w:rPr>
        <w:t>根据安阳市委统一部署，2024年4月1日至5月31日，安阳市委第一巡察组对中共红旗渠·林虑山风景名胜区管理委员会党组</w:t>
      </w:r>
      <w:r>
        <w:rPr>
          <w:rFonts w:hint="eastAsia" w:ascii="仿宋_GB2312" w:hAnsi="Times New Roman" w:eastAsia="仿宋_GB2312"/>
          <w:b w:val="0"/>
          <w:bCs w:val="0"/>
          <w:kern w:val="2"/>
          <w:sz w:val="32"/>
          <w:szCs w:val="32"/>
          <w:lang w:eastAsia="zh-CN"/>
        </w:rPr>
        <w:t>进行了</w:t>
      </w:r>
      <w:r>
        <w:rPr>
          <w:rFonts w:ascii="仿宋_GB2312" w:hAnsi="Times New Roman" w:eastAsia="仿宋_GB2312"/>
          <w:b w:val="0"/>
          <w:bCs w:val="0"/>
          <w:kern w:val="2"/>
          <w:sz w:val="32"/>
          <w:szCs w:val="32"/>
        </w:rPr>
        <w:t>巡察。</w:t>
      </w:r>
      <w:r>
        <w:rPr>
          <w:rFonts w:hint="eastAsia" w:ascii="仿宋_GB2312" w:hAnsi="Times New Roman" w:eastAsia="仿宋_GB2312"/>
          <w:b w:val="0"/>
          <w:bCs w:val="0"/>
          <w:kern w:val="2"/>
          <w:sz w:val="32"/>
          <w:szCs w:val="32"/>
          <w:lang w:val="en-US" w:eastAsia="zh-CN"/>
        </w:rPr>
        <w:t>2024年</w:t>
      </w:r>
      <w:r>
        <w:rPr>
          <w:rFonts w:ascii="仿宋_GB2312" w:hAnsi="Times New Roman" w:eastAsia="仿宋_GB2312"/>
          <w:b w:val="0"/>
          <w:bCs w:val="0"/>
          <w:kern w:val="2"/>
          <w:sz w:val="32"/>
          <w:szCs w:val="32"/>
        </w:rPr>
        <w:t>6月27日，市委巡察组向林虑山风景名胜区管理委员会党组反馈了巡察意见。按照《中国共产党巡视工作条例》有关规定，现将巡察整改有关情况予以公布。</w:t>
      </w:r>
      <w:bookmarkEnd w:id="3"/>
    </w:p>
    <w:p>
      <w:pPr>
        <w:spacing w:line="580" w:lineRule="exact"/>
        <w:ind w:left="0" w:leftChars="0" w:right="0" w:firstLine="640" w:firstLineChars="200"/>
        <w:textAlignment w:val="auto"/>
        <w:rPr>
          <w:rFonts w:ascii="楷体_GB2312" w:hAnsi="楷体_GB2312" w:eastAsia="楷体_GB2312" w:cs="楷体_GB2312"/>
          <w:b w:val="0"/>
          <w:bCs w:val="0"/>
          <w:sz w:val="32"/>
          <w:szCs w:val="32"/>
        </w:rPr>
      </w:pPr>
      <w:r>
        <w:rPr>
          <w:rFonts w:hint="eastAsia" w:ascii="黑体" w:hAnsi="黑体" w:eastAsia="黑体" w:cs="黑体"/>
          <w:b w:val="0"/>
          <w:bCs w:val="0"/>
          <w:sz w:val="32"/>
          <w:szCs w:val="32"/>
          <w:lang w:eastAsia="zh-CN"/>
        </w:rPr>
        <w:t>一、</w:t>
      </w:r>
      <w:r>
        <w:rPr>
          <w:rFonts w:hint="eastAsia" w:ascii="黑体" w:hAnsi="黑体" w:eastAsia="黑体" w:cs="黑体"/>
          <w:b w:val="0"/>
          <w:bCs w:val="0"/>
          <w:sz w:val="32"/>
          <w:szCs w:val="32"/>
        </w:rPr>
        <w:t>整改政治责任扛的不牢</w:t>
      </w:r>
    </w:p>
    <w:p>
      <w:pPr>
        <w:spacing w:line="580" w:lineRule="exact"/>
        <w:ind w:left="0" w:leftChars="0" w:right="0" w:firstLine="643" w:firstLineChars="200"/>
        <w:jc w:val="left"/>
        <w:textAlignment w:val="auto"/>
        <w:rPr>
          <w:rFonts w:hint="eastAsia" w:ascii="楷体" w:hAnsi="楷体" w:eastAsia="楷体" w:cs="楷体"/>
          <w:b/>
          <w:sz w:val="32"/>
          <w:szCs w:val="32"/>
        </w:rPr>
      </w:pPr>
      <w:r>
        <w:rPr>
          <w:rFonts w:hint="eastAsia" w:ascii="楷体" w:hAnsi="楷体" w:eastAsia="楷体" w:cs="楷体"/>
          <w:b/>
          <w:sz w:val="32"/>
          <w:szCs w:val="32"/>
        </w:rPr>
        <w:t>落实“未巡先改”和审计反馈问题整改要求还不到位。</w:t>
      </w:r>
    </w:p>
    <w:p>
      <w:pPr>
        <w:spacing w:line="580" w:lineRule="exact"/>
        <w:ind w:left="0" w:leftChars="0" w:right="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一是2023年12月聘请第三方咨询公司对项目未结算的3个标段进行工程结算评审，2024年8月出具了《工程结算报告》，林州市审计局对《工程结算报告》进行了审计，并已出具工程结算审计结果。二是正在选择第三方进行项目财务决算，依程序审计后，及时进行资产登记。三是举一反三，全面统筹，制定《项目建设管理办法》，加强项目立项、招投标、合同订立、开工建设、设计变更、竣工验收、工程结算、财务决算、资产移交登记等各个环节全过程管理。具体实施过程中，成立由主管领导、主办科室负责人和现场管理人员组成的专门工作组，责任到人，确保项目依法推进。</w:t>
      </w:r>
    </w:p>
    <w:p>
      <w:pPr>
        <w:spacing w:line="580" w:lineRule="exact"/>
        <w:ind w:left="0" w:leftChars="0" w:right="0" w:firstLine="640" w:firstLineChars="200"/>
        <w:textAlignment w:val="auto"/>
        <w:rPr>
          <w:rFonts w:ascii="楷体_GB2312" w:hAnsi="楷体_GB2312" w:eastAsia="楷体_GB2312" w:cs="楷体_GB2312"/>
          <w:b/>
          <w:bCs/>
          <w:sz w:val="32"/>
          <w:szCs w:val="32"/>
        </w:rPr>
      </w:pPr>
      <w:r>
        <w:rPr>
          <w:rFonts w:hint="eastAsia" w:ascii="黑体" w:hAnsi="黑体" w:eastAsia="黑体" w:cs="黑体"/>
          <w:b w:val="0"/>
          <w:bCs w:val="0"/>
          <w:sz w:val="32"/>
          <w:szCs w:val="32"/>
          <w:lang w:eastAsia="zh-CN"/>
        </w:rPr>
        <w:t>二、</w:t>
      </w:r>
      <w:r>
        <w:rPr>
          <w:rFonts w:hint="eastAsia" w:ascii="黑体" w:hAnsi="黑体" w:eastAsia="黑体" w:cs="黑体"/>
          <w:b w:val="0"/>
          <w:bCs w:val="0"/>
          <w:sz w:val="32"/>
          <w:szCs w:val="32"/>
        </w:rPr>
        <w:t>政治统领有缺失</w:t>
      </w:r>
    </w:p>
    <w:p>
      <w:pPr>
        <w:spacing w:line="580" w:lineRule="exact"/>
        <w:ind w:left="0" w:leftChars="0" w:right="0"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lang w:eastAsia="zh-CN"/>
        </w:rPr>
        <w:t>（一）</w:t>
      </w:r>
      <w:r>
        <w:rPr>
          <w:rFonts w:hint="eastAsia" w:ascii="楷体" w:hAnsi="楷体" w:eastAsia="楷体" w:cs="楷体"/>
          <w:b/>
          <w:bCs/>
          <w:sz w:val="32"/>
          <w:szCs w:val="32"/>
        </w:rPr>
        <w:t>党的领导作用未有效发挥。</w:t>
      </w:r>
    </w:p>
    <w:p>
      <w:pPr>
        <w:spacing w:line="580" w:lineRule="exact"/>
        <w:ind w:left="0" w:leftChars="0" w:right="0" w:firstLine="640" w:firstLineChars="200"/>
        <w:jc w:val="lef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是2024年6月中共林州市委机构编制委员会明确红旗渠·林虑山风景名胜区管理委员会为林州市人民政府直属事业单位，7月中共林州市委设立中共红旗渠·林虑山风景名胜区管理委员会党组，中共林州市委组织部任命朱武迅为中共红旗渠·林虑山风景名胜区管理委员会党组书记，王仲坤、王瑞恒为党组成员，林州市人民政府任命王仲坤、王瑞恒为红旗渠·林虑山风景名胜区管理委员会副主任，配齐了景管委领导班子。二是明确了班子成员分工、党组工作规则及党组、党组书记、党组成员承担的全面从严治党责任。三是修订完善理论学习中心组学习制度、民主生活会制度、组织生活会制度等党内政治生活制度；四是制定党组理论学习中心组学习实施办法，将党章党规和党性党风党纪教育列入理论学习中心组学习计划，严格遵照执行。五是８月9日规范召开了巡察整改专题民主生活会，严肃认真开展批评与自我批评，做到了党内政治生活不走过场、收到实效。</w:t>
      </w:r>
    </w:p>
    <w:p>
      <w:pPr>
        <w:spacing w:line="580" w:lineRule="exact"/>
        <w:ind w:left="0" w:leftChars="0" w:right="0" w:firstLine="643" w:firstLineChars="200"/>
        <w:textAlignment w:val="auto"/>
        <w:rPr>
          <w:rFonts w:ascii="仿宋_GB2312" w:hAnsi="仿宋_GB2312" w:eastAsia="仿宋_GB2312" w:cs="仿宋_GB2312"/>
          <w:b/>
          <w:bCs/>
          <w:sz w:val="32"/>
          <w:szCs w:val="32"/>
        </w:rPr>
      </w:pPr>
      <w:r>
        <w:rPr>
          <w:rFonts w:hint="eastAsia" w:ascii="楷体" w:hAnsi="楷体" w:eastAsia="楷体" w:cs="楷体"/>
          <w:b/>
          <w:bCs/>
          <w:sz w:val="32"/>
          <w:szCs w:val="32"/>
          <w:lang w:eastAsia="zh-CN"/>
        </w:rPr>
        <w:t>（二）</w:t>
      </w:r>
      <w:r>
        <w:rPr>
          <w:rFonts w:hint="eastAsia" w:ascii="楷体" w:hAnsi="楷体" w:eastAsia="楷体" w:cs="楷体"/>
          <w:b/>
          <w:bCs/>
          <w:sz w:val="32"/>
          <w:szCs w:val="32"/>
        </w:rPr>
        <w:t>传承和弘扬红旗渠精神存在较大差距。</w:t>
      </w:r>
    </w:p>
    <w:p>
      <w:pPr>
        <w:adjustRightInd w:val="0"/>
        <w:snapToGrid w:val="0"/>
        <w:spacing w:line="580" w:lineRule="exact"/>
        <w:ind w:left="0" w:leftChars="0" w:right="0" w:firstLine="640" w:firstLineChars="200"/>
        <w:jc w:val="lef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是组织全体干部学习习近平总书记关于纪律作风建设的重要论述和习近平总书记考察安阳红旗渠重要讲话精神，人人撰写《找差距、挖根源、定措施，补短板》个人剖析材料。二是结合本单位实际，制定强化干事创业激励担当作为的规定，明确压实担当责任、激发担当动力、深化关爱措施3方面10条措施，鼓励干部主动担当作为。三是持续推进林虑山保护和建设项目相关信访、诉讼和遗留问题解决，制定推进台账，责任到人，跟踪督促，按时间节点推进。四是“五一”“十一”期间，安排全体干部下沉景区值勤，同时加大对登山野</w:t>
      </w:r>
      <w:bookmarkStart w:id="4" w:name="_GoBack"/>
      <w:bookmarkEnd w:id="4"/>
      <w:r>
        <w:rPr>
          <w:rFonts w:hint="eastAsia" w:ascii="仿宋_GB2312" w:hAnsi="仿宋_GB2312" w:eastAsia="仿宋_GB2312" w:cs="仿宋_GB2312"/>
          <w:sz w:val="32"/>
          <w:szCs w:val="32"/>
        </w:rPr>
        <w:t>线等危险区域的监测监控。8月中下旬，为缓解太行大峡谷内暑期季节性游客高峰引发的局部道路交通拥堵，牵头组织公安交警、公交公司、民宿协会、石板岩镇、志愿者等，连续两周在游客中心对进入车辆采取分时段管控措施。五是聚焦主责主业，结合工作实际，科级干部人人选报调研课题，共征集10个调研课题，内容涵盖风景名胜区规划、资源保护、体制机制建设与管理和文旅融合等内容。六是科级干部人人联系建设项目，帮助协调解决项目建设过程中的具体困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七是结合科长巡查，科级干部分组主动深入现场，整改以来，共深入现场12次，发现问题6处，其中3处环境卫生问题已整改，3处违法建设问题均已制止。八是针对抖音短视频反映的石板岩大桥公共卫生间在游客较多时段提前关闭，导致网络舆情问题，景管委协调石板岩镇政府立即整改，调整开放时间，对卫生间管理人员进行了警示谈话。建立并完善长效管理机制，制定了《风景名胜区内公共卫生间管理办法》，压实景管委的监督检查责任，监督有关管理单位、责任人执行到位、管理到位、服务到位。整改以来，巡查风景名胜区内公共卫生间6次，专项检查环境卫生8次。</w:t>
      </w:r>
    </w:p>
    <w:p>
      <w:pPr>
        <w:spacing w:line="580" w:lineRule="exact"/>
        <w:ind w:left="0" w:leftChars="0" w:right="0"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lang w:eastAsia="zh-CN"/>
        </w:rPr>
        <w:t>（三）</w:t>
      </w:r>
      <w:r>
        <w:rPr>
          <w:rFonts w:hint="eastAsia" w:ascii="楷体" w:hAnsi="楷体" w:eastAsia="楷体" w:cs="楷体"/>
          <w:b/>
          <w:bCs/>
          <w:sz w:val="32"/>
          <w:szCs w:val="32"/>
        </w:rPr>
        <w:t>落实上级决策部署有差距。</w:t>
      </w:r>
    </w:p>
    <w:p>
      <w:pPr>
        <w:spacing w:line="580" w:lineRule="exact"/>
        <w:ind w:left="0" w:leftChars="0" w:right="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是组织学习《习近平生态文明思想学习纲要》及重要批示指示精神，理论学习中心组安排专题学习。通过学习，深刻认识到绿水青山和金山银山是辩证统一的关系，牢固树立绿水青山就是金山银山的理念，促进绿水青山更好转化为金山银山。二是及时启动原有《总体规划》的修订编制工作，科学系统谋划未来15年内风景名胜区内发展目标、实施步骤、保护措施等，确保促进绿水青山更好转化为金山银山的工作有章可循、有规可依。三是林州市政府第45次政府常务会议定成立林虑山风景名胜区综合管理工作专班，初步建立了适应风景名胜区范围内保护绿水青山的体制机制。目前，已梳理出《林虑山风景名胜区管理和执法事项清单》7部分32项。四是坚决遏制违法建设苗头，除做好日常巡查巡护外，充分发动风景名胜区内的镇、村组织积极参与，与5个镇、33个行政村签订巡查巡护共管协议38份，促进巡查巡护到位，早发现问题早解决。同时，做好卫星遥感问题点位整改。五是对照各科室职责，梳理出岗位职责清单、任务清单、责任清单，强化责任，狠抓落实。六是梳理风景名胜区审核审批事项，规范项目审核流程、审核要件，印发《关于规范主要审核事项流程的通知》，明确哪些项目需审核、怎样审核，严格遵照执行。七是进一步完善了巡查制度和巡查记录，调整了12条巡查线路，每周3次巡查，达到每月全覆盖；在云上林州发布风景名胜区范围内违法建设举报电话：0372-6808602。对违法行为早发现早制止早处理，截至９月底共下达停工通知书16份，给相关部门发函15份，较好地扭转了风景名胜区内建设管理混乱局面。八是围绕安阳“一高地一区三中心”和林州市“1225总体发展思路”要求，系统梳理出了保护风景名胜资源在促进文旅文创融合发展方面的“加强生态保护、制定总体规划、保护文化遗产、开发特色旅游产品、打造旅游品牌、提升旅游服务质量”等6项工作任务。九是聚焦主责主业，业务科室结合各自职责范围内的业务事项，规划建设科梳理出任务清单7项、成果清单4项、责任清单2项；景区管理科梳理出任务清单2项、成果清单5项、责任清单2项；资源保护科梳理出任务清单2项、成果清单6项、责任清单2项；市场发展科梳理出任务清单5项、成果清单4项、责任清单4项。十是加强了对风景名胜区内研学活动的监督管理，印发了《关于进一步规范风景名胜区范围内研学活动审查统计工作的通知》。红旗渠景区研学基地制定了《安全管理制度》《安全应急预案》《卫生管理制度》等。全力打造“红旗渠人家”旅游民宿区域品牌，制定了《“红旗渠人家”旅游民宿评定标准（试行）》，推动注册“红旗渠人家”集体商标，开展“红旗渠人家”星级旅游民宿评定工作。积极协调组织石板岩·太行画谷国家级旅游度假区和国家级旅游休闲街区创建工作，《石板岩·太行画谷国家级旅游度假区认定申请报告书》《国家级旅游休闲街区认定申请报告书》已提交国家文旅部。</w:t>
      </w:r>
    </w:p>
    <w:p>
      <w:pPr>
        <w:spacing w:line="580" w:lineRule="exact"/>
        <w:ind w:left="0" w:leftChars="0" w:right="0"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三、</w:t>
      </w:r>
      <w:r>
        <w:rPr>
          <w:rFonts w:hint="eastAsia" w:ascii="黑体" w:hAnsi="黑体" w:eastAsia="黑体" w:cs="黑体"/>
          <w:b w:val="0"/>
          <w:bCs w:val="0"/>
          <w:sz w:val="32"/>
          <w:szCs w:val="32"/>
        </w:rPr>
        <w:t>履行管理职责不力</w:t>
      </w:r>
    </w:p>
    <w:p>
      <w:pPr>
        <w:spacing w:line="580" w:lineRule="exact"/>
        <w:ind w:left="0" w:leftChars="0" w:right="0"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lang w:eastAsia="zh-CN"/>
        </w:rPr>
        <w:t>（一）</w:t>
      </w:r>
      <w:r>
        <w:rPr>
          <w:rFonts w:hint="eastAsia" w:ascii="楷体" w:hAnsi="楷体" w:eastAsia="楷体" w:cs="楷体"/>
          <w:b/>
          <w:bCs/>
          <w:sz w:val="32"/>
          <w:szCs w:val="32"/>
        </w:rPr>
        <w:t>贯彻风景名胜区条例政策不深入。</w:t>
      </w:r>
    </w:p>
    <w:p>
      <w:pPr>
        <w:spacing w:line="580" w:lineRule="exact"/>
        <w:ind w:left="0" w:leftChars="0" w:right="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是在个人自学的基础上，组织全体干部召开《风景名胜区条例》集中学习研讨交流会，强化对《风景名胜区条例》和《林虑山风景名胜区总体规划》理解、运用。二是印制《风景名胜区条例》宣传页、宣传横幅、《林虑山风景名胜区法规资料汇编》，到石板岩郭家庄、沙岸等村进行集中宣传。通过3次集中巡回宣传和发放宣传页等形式，强化村民和经营商户前置审核意识，提高村民和经营商户对风景名胜区相关规定的知晓度。三是通过《云上林州》等网络媒体，发布有关风景名胜区管理的工作动态6篇，短视频4条。四是在巡查过程中，针对巡查发现的问题，向责任人讲明有关法律法规，下达提醒通知书和整改通知书共9份，提醒并督促责任人到景管委规划科办理前置审核手续。与风景名胜区范围内5个镇、33个行政村、民宿协会、写生协会、大峡谷公司共签订共管协议41份，加强风景名胜区内项目建设管理，共同提醒督促项目责任人在建设前先到景管委规划科办理前置审核手续。五是加快推进林虑山风景名胜区总体规划（2025年-2035年）修编工作。2024年4月，在征求林州市34个相关单位部门意见建议后，编制完成《林虑山风景名胜区总体规划修编大纲》。9个重大项目专项规划论证稿已编制完成，依程序逐级上报至省林业局。力争12月底前将《总体规划（2025年-2035年）》审批稿上报省林业局。六是待总规完成修编后，立即重启详细规划的编制工作，力争在6个月内取得审批成果。七是逐步完善风景名胜区内规划实施体系。拟定了建设项目负面清单和正面清单，严格禁止建设所有进入负面清单的项目，不得进入审核审批环节，对进入正面清单的项目严格审核审批流程，真正实现“科学规划、统一管理、严格保护、永续利用”的要求。</w:t>
      </w:r>
    </w:p>
    <w:p>
      <w:pPr>
        <w:spacing w:line="580" w:lineRule="exact"/>
        <w:ind w:left="0" w:leftChars="0" w:right="0"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lang w:eastAsia="zh-CN"/>
        </w:rPr>
        <w:t>（二）</w:t>
      </w:r>
      <w:r>
        <w:rPr>
          <w:rFonts w:hint="eastAsia" w:ascii="楷体" w:hAnsi="楷体" w:eastAsia="楷体" w:cs="楷体"/>
          <w:b/>
          <w:bCs/>
          <w:sz w:val="32"/>
          <w:szCs w:val="32"/>
        </w:rPr>
        <w:t>巡查制度执行不严格。</w:t>
      </w:r>
    </w:p>
    <w:p>
      <w:pPr>
        <w:spacing w:line="580" w:lineRule="exact"/>
        <w:ind w:left="0" w:leftChars="0" w:right="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是针对科长巡查未按要求落实到位，由党组书记对全体科长集体警示谈话，要求严格执行科长巡查制度，全体科长深入自我剖析。责令景区管理科相关责任人写出深刻检查；由景区管理科负责人分别进行教育谈话。对巡查不到位问题，组织开展以案促改。二是建立《巡查制度》，明确巡查台账，优化调整了巡查路线，下发至各科室，组织相关人员认真学习，确保日常巡查落实到位。三是优化巡查台账，合理规划巡查线路、覆盖范围，明确巡查日期、巡查频次，明确领导责任、队员责任。四是参照省林业局制定的巡查文书格式，规范巡查记录的内容、应当收集的现场材料等，巡查当日由带队领导审核确认，一周之内及时整理归档。至9月底，规范归档巡查记录23份。五是规范制止违法建设、提醒事项、函告事项等各类文书的格式，统一编号管理，规范审核流程。至9月底，下达停工通知书16份，向相关单位发函15份。六是优化调配巡查队伍，景区管理科、规划建设科、资源保护科联合，对2023年10月20日至2024年3月21日期间未排查出任何问题的21次巡查，开展回巡复查，对风景名胜区内存在的其他违法违规建设、环境污染、严重安全隐患等问题，逐一排查登记，建立整改台账，督促整改到位。七是压实巡查责任，明确巡查带队负责人，严格落实巡查台账内容，规范做好巡查记录，并由带队负责人对新发现的问题及时妥善处置到位。整改期间，共开展巡查23次（覆盖回巡路线），共发现</w:t>
      </w:r>
      <w:r>
        <w:rPr>
          <w:rFonts w:hint="eastAsia" w:ascii="仿宋_GB2312" w:hAnsi="仿宋_GB2312" w:eastAsia="仿宋_GB2312" w:cs="仿宋_GB2312"/>
          <w:bCs/>
          <w:sz w:val="32"/>
          <w:szCs w:val="32"/>
        </w:rPr>
        <w:t>违规乱建、环境污染、安全隐患问</w:t>
      </w:r>
      <w:r>
        <w:rPr>
          <w:rFonts w:hint="eastAsia" w:ascii="仿宋_GB2312" w:hAnsi="仿宋_GB2312" w:eastAsia="仿宋_GB2312" w:cs="仿宋_GB2312"/>
          <w:sz w:val="32"/>
          <w:szCs w:val="32"/>
        </w:rPr>
        <w:t>题共14处，其中</w:t>
      </w:r>
      <w:r>
        <w:rPr>
          <w:rFonts w:hint="eastAsia" w:ascii="仿宋_GB2312" w:hAnsi="仿宋_GB2312" w:eastAsia="仿宋_GB2312" w:cs="仿宋_GB2312"/>
          <w:bCs/>
          <w:sz w:val="32"/>
          <w:szCs w:val="32"/>
        </w:rPr>
        <w:t>违规乱建8处、垃圾乱堆乱放3处、</w:t>
      </w:r>
      <w:r>
        <w:rPr>
          <w:rFonts w:hint="eastAsia" w:ascii="仿宋_GB2312" w:hAnsi="仿宋_GB2312" w:eastAsia="仿宋_GB2312" w:cs="仿宋_GB2312"/>
          <w:sz w:val="32"/>
          <w:szCs w:val="32"/>
        </w:rPr>
        <w:t>安全隐患3处。截至目前，</w:t>
      </w:r>
      <w:r>
        <w:rPr>
          <w:rFonts w:hint="eastAsia" w:ascii="仿宋_GB2312" w:hAnsi="仿宋_GB2312" w:eastAsia="仿宋_GB2312" w:cs="仿宋_GB2312"/>
          <w:bCs/>
          <w:sz w:val="32"/>
          <w:szCs w:val="32"/>
        </w:rPr>
        <w:t>垃圾乱堆乱放3处、</w:t>
      </w:r>
      <w:r>
        <w:rPr>
          <w:rFonts w:hint="eastAsia" w:ascii="仿宋_GB2312" w:hAnsi="仿宋_GB2312" w:eastAsia="仿宋_GB2312" w:cs="仿宋_GB2312"/>
          <w:sz w:val="32"/>
          <w:szCs w:val="32"/>
        </w:rPr>
        <w:t>安全隐患3处已整改到位，1处违规建设已办理手续，剩余7处移交相关部门，违法乱建得到有效遏制，环境卫生持续改善，安全隐患及时排查整治。八是党组每月听取巡查工作汇报，整改期间共汇报3次，对巡查不实、不到位，发现问题处置不及时、不到位，跟踪办理不落实等问题，及时采取提醒谈话等必要措施。</w:t>
      </w:r>
    </w:p>
    <w:p>
      <w:pPr>
        <w:spacing w:line="580" w:lineRule="exact"/>
        <w:ind w:left="0" w:leftChars="0" w:right="0"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lang w:eastAsia="zh-CN"/>
        </w:rPr>
        <w:t>（三）</w:t>
      </w:r>
      <w:r>
        <w:rPr>
          <w:rFonts w:hint="eastAsia" w:ascii="楷体" w:hAnsi="楷体" w:eastAsia="楷体" w:cs="楷体"/>
          <w:b/>
          <w:bCs/>
          <w:sz w:val="32"/>
          <w:szCs w:val="32"/>
        </w:rPr>
        <w:t>安全生产管理责任落实不到位。</w:t>
      </w:r>
    </w:p>
    <w:p>
      <w:pPr>
        <w:spacing w:line="580" w:lineRule="exact"/>
        <w:ind w:left="0" w:leftChars="0" w:right="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是印发《关于明确安全生产责任的通知》，明确了单位主要负责人、班子其他成员、科室负责人各自的安全生产工作职责，落实安全生产责任制。二是建立《安全生产管理工作制度》，开展了安全隐患排查整治，形成了问题清单、任务清单、责任清单，落实整改责任。结合日常巡查，开展了日常巡查工作23次，常态化深入排查安全隐患8次，排查并限期整改安全隐患和风险事项28项，发现并督促整改安全隐患3处，形成了“排查—整改—销号—巩固”闭环管理。三是制定了收费景区景点之外区域的管理办法。四是协调合涧镇政府和文物保护部门依法履行对洪谷山景区的安全管理职责和文物安全保护职责。合涧镇成立了保护开发工作专班,全面加强景区管理和文物保护的领导，安排4名工作人员、2辆电动巡逻车到岗开展工作，在景区门前安装警示牌、围挡，整修景区道路周边山体塌方8处。五是加强对风景名胜区登山旅游野线管理，根据《关于加强风景名胜区内户外登山线路管理工作的通知》，督促相关镇村加强管理。动态调整了有关线路21条、危险点位59处的清单，采取了设置安全警示横幅、张贴提醒标语等措施，加强日常巡查，“五一”“十一”等重点时段现场值勤，落实安全管理责任。六是开展了游览道路塌方、护栏断裂等安全隐患问题专项检查，协调石板岩镇政府对圣子沟至北湾村游览道路塌方、护栏缺失进行了修复，清理了车佛沟至大垴村路段沿线防护墙上堆石。</w:t>
      </w:r>
    </w:p>
    <w:p>
      <w:pPr>
        <w:spacing w:line="580" w:lineRule="exact"/>
        <w:ind w:left="0" w:leftChars="0" w:right="0"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四、</w:t>
      </w:r>
      <w:r>
        <w:rPr>
          <w:rFonts w:hint="eastAsia" w:ascii="黑体" w:hAnsi="黑体" w:eastAsia="黑体" w:cs="黑体"/>
          <w:b w:val="0"/>
          <w:bCs w:val="0"/>
          <w:sz w:val="32"/>
          <w:szCs w:val="32"/>
        </w:rPr>
        <w:t>统筹资源开发与生态保护有差距</w:t>
      </w:r>
    </w:p>
    <w:p>
      <w:pPr>
        <w:spacing w:line="580" w:lineRule="exact"/>
        <w:ind w:left="0" w:leftChars="0" w:right="0"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lang w:eastAsia="zh-CN"/>
        </w:rPr>
        <w:t>（一）</w:t>
      </w:r>
      <w:r>
        <w:rPr>
          <w:rFonts w:hint="eastAsia" w:ascii="楷体" w:hAnsi="楷体" w:eastAsia="楷体" w:cs="楷体"/>
          <w:b/>
          <w:bCs/>
          <w:sz w:val="32"/>
          <w:szCs w:val="32"/>
        </w:rPr>
        <w:t>对风景名胜区内项目开发审核监督不严。</w:t>
      </w:r>
    </w:p>
    <w:p>
      <w:pPr>
        <w:spacing w:line="580" w:lineRule="exact"/>
        <w:ind w:left="0" w:leftChars="0" w:right="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是严格审核制度和流程。印发《关于规范审核事项流程的通知》，明确了风景名胜区审核审批事项，规范项目审核流程、审核要件。二是对2021年至2024年4月间已审核的15个项目进行复审。召开“三重一大”会议，就规划建设科提请复审该15个项目进行集体研究，由规划建设科负责，依照规范的审核流程，逐一完善相关审核手续。三是对石板岩镇2020年以后相关建设进行摸排，共计168处，其中新建民房68处、新建民宿11处、翻建改建民宿89处。对该168处建筑，目前正在逐一进行审核，符合风景名胜区规划的，予以完善手续；不符合风景名胜区规划或者影响规划实施的，</w:t>
      </w:r>
      <w:r>
        <w:rPr>
          <w:rFonts w:ascii="仿宋_GB2312" w:hAnsi="仿宋_GB2312" w:eastAsia="仿宋_GB2312" w:cs="仿宋_GB2312"/>
          <w:sz w:val="32"/>
          <w:szCs w:val="32"/>
        </w:rPr>
        <w:t>依</w:t>
      </w:r>
      <w:r>
        <w:rPr>
          <w:rFonts w:hint="eastAsia" w:ascii="仿宋_GB2312" w:hAnsi="仿宋_GB2312" w:eastAsia="仿宋_GB2312" w:cs="仿宋_GB2312"/>
          <w:sz w:val="32"/>
          <w:szCs w:val="32"/>
        </w:rPr>
        <w:t>法</w:t>
      </w:r>
      <w:r>
        <w:rPr>
          <w:rFonts w:ascii="仿宋_GB2312" w:hAnsi="仿宋_GB2312" w:eastAsia="仿宋_GB2312" w:cs="仿宋_GB2312"/>
          <w:sz w:val="32"/>
          <w:szCs w:val="32"/>
        </w:rPr>
        <w:t>作出相应处理。</w:t>
      </w:r>
      <w:r>
        <w:rPr>
          <w:rFonts w:hint="eastAsia" w:ascii="仿宋_GB2312" w:hAnsi="仿宋_GB2312" w:eastAsia="仿宋_GB2312" w:cs="仿宋_GB2312"/>
          <w:sz w:val="32"/>
          <w:szCs w:val="32"/>
        </w:rPr>
        <w:t>四是建立多部门联合执法机制。市政府成立林虑山风景名胜区综合管理工作专班，理顺风景名胜区管理体制，景管委的巡查巡护与有关部门的执法紧密结合，共同发力。五是严格落实日常巡查和科长巡查制度，整改期间，共巡查23次，发现违建8处，1处已督促办理了相关手续，7处移交相关执法部门。</w:t>
      </w:r>
    </w:p>
    <w:p>
      <w:pPr>
        <w:spacing w:line="580" w:lineRule="exact"/>
        <w:ind w:left="0" w:leftChars="0" w:right="0" w:firstLine="643" w:firstLineChars="200"/>
        <w:textAlignment w:val="auto"/>
        <w:rPr>
          <w:rFonts w:ascii="仿宋_GB2312" w:hAnsi="仿宋_GB2312" w:eastAsia="仿宋_GB2312" w:cs="仿宋_GB2312"/>
          <w:b/>
          <w:bCs/>
          <w:sz w:val="32"/>
          <w:szCs w:val="32"/>
        </w:rPr>
      </w:pPr>
      <w:r>
        <w:rPr>
          <w:rFonts w:hint="eastAsia" w:ascii="楷体" w:hAnsi="楷体" w:eastAsia="楷体" w:cs="楷体"/>
          <w:b/>
          <w:bCs/>
          <w:sz w:val="32"/>
          <w:szCs w:val="32"/>
          <w:lang w:eastAsia="zh-CN"/>
        </w:rPr>
        <w:t>（二）</w:t>
      </w:r>
      <w:r>
        <w:rPr>
          <w:rFonts w:hint="eastAsia" w:ascii="楷体" w:hAnsi="楷体" w:eastAsia="楷体" w:cs="楷体"/>
          <w:b/>
          <w:bCs/>
          <w:sz w:val="32"/>
          <w:szCs w:val="32"/>
        </w:rPr>
        <w:t>对风景名胜区内资源保护工作存在较大短板。</w:t>
      </w:r>
    </w:p>
    <w:p>
      <w:pPr>
        <w:spacing w:line="580" w:lineRule="exact"/>
        <w:ind w:left="0" w:leftChars="0" w:right="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是制定了《资源保护制度》、《植物资源保护制度》，明确了资源保护范围、方法、措施和责任。制定了《资源保护实施方案》、《资源普查调查工作规划方案》，对风景名胜区内野生动物和地质遗迹进行了调查，形成了资源名录，调查野生动物22目42科200余种，地质遗迹7处。开展了全市旅游资源普查工作，已完成外业调查、初步整理和评价核定61处。规范建立了风景名胜区资源档案，登记评价资源189处。二是对韩家洼村“听雨山居”民宿周边生活垃圾和北湾村太行平湖垂钓游客烧烤生活垃圾污染进行了清理。整改以来，对“听雨山居”民宿周边和北湾村太行平湖环境卫生检查3次，石板岩镇政府每周集中开展一次环境卫生大清理，并开展宣传引导，实行门前三包，提升游客满意度。针对石板岩镇区域内居民和民宿生活污水粗放处理、写生学生在河道清洗画笔和倾倒颜料等突出的污染问题，制定《风景名胜区环境卫生管理办法》，建立与景区相关单位的环境卫生共管机制，分别与民宿协会、写生协会、大峡谷公司等经营主体签订共管协议，压实各类主体的环境卫生责任，加强管理，杜绝写生学生在河道内倾倒颜料和清洗画笔，同时增设污水处理设备，设立严禁污染资源的警示牌。针对写生学生密集的高家台村，督促高家台村委会，对已建成的一处小型污水处理站，安排专人负责运维管理，正常运转；同时，景管委、石板岩镇政府分别与写生协会、民宿协会签订管护协议，写生协会与49家写生接待基地、每一个写生班次的负责人签订管护协议，明确各方义务，约束写生人员规范使用颜料、收集废水；针对商户集中连片的镇区，督促石板岩镇政府确保13处小型污水处理设施正常运行。针对地形陡峭的287家分散商户的化粪池，督促使用人定期抽送，规范处置。景管委景区管理科、石板岩镇综合执法队加强常态化巡查，结合临时抽检等措施，坚决避免垃圾随意抛弃堆放、污水外溢污染。三是协调合涧镇政府、文物局加强维护管理，6月上旬对僧塔、谢公渠损坏部分及周边道路进行了修缮清理，结合市文物局正在开展的第四次全国文物普查工作，申请将谢公渠登记纳入四普不可移动文物点，提升保护等级，设置文物保护标志，加大技防力度和人员巡护频次。四是</w:t>
      </w:r>
      <w:r>
        <w:rPr>
          <w:rFonts w:hint="eastAsia" w:ascii="仿宋_GB2312" w:hAnsi="仿宋_GB2312" w:eastAsia="仿宋_GB2312" w:cs="仿宋_GB2312"/>
          <w:kern w:val="0"/>
          <w:sz w:val="32"/>
          <w:szCs w:val="32"/>
        </w:rPr>
        <w:t>加强组织领导，成立了林州市传统村落集中连片保护利用示范工作领导小组，制定了《林州市传统村落集中连片保护利用示范工作方案》，明确了传统村落的工作责任、任务和措施，完善了工作机制，针对传统村落规划区内新建、修缮和改造等建设活动，明确了经属地镇政府初审后，报景管委审核，报林业局、住建局等相应主管部门审批同意后实施。五是受市政府委托召集住建局、石板岩镇召开四次专门会议，协调相关部门加强传统村落保护工作。在核查</w:t>
      </w:r>
      <w:r>
        <w:rPr>
          <w:rFonts w:hint="eastAsia" w:ascii="仿宋_GB2312" w:hAnsi="仿宋_GB2312" w:eastAsia="仿宋_GB2312" w:cs="仿宋_GB2312"/>
          <w:sz w:val="32"/>
          <w:szCs w:val="32"/>
        </w:rPr>
        <w:t>西乡坪、高家台、梨园坪、漏子头等</w:t>
      </w:r>
      <w:r>
        <w:rPr>
          <w:rFonts w:hint="eastAsia" w:ascii="仿宋_GB2312" w:hAnsi="仿宋_GB2312" w:eastAsia="仿宋_GB2312" w:cs="仿宋_GB2312"/>
          <w:kern w:val="0"/>
          <w:sz w:val="32"/>
          <w:szCs w:val="32"/>
        </w:rPr>
        <w:t>传统村落现状的基础上，</w:t>
      </w:r>
      <w:r>
        <w:rPr>
          <w:rFonts w:hint="eastAsia" w:ascii="仿宋_GB2312" w:hAnsi="仿宋_GB2312" w:eastAsia="仿宋_GB2312" w:cs="仿宋_GB2312"/>
          <w:sz w:val="32"/>
          <w:szCs w:val="32"/>
        </w:rPr>
        <w:t>住建局对石板岩镇典型问题进行了通报，同时督促制定保护规划。</w:t>
      </w:r>
      <w:r>
        <w:rPr>
          <w:rFonts w:hint="eastAsia" w:ascii="仿宋_GB2312" w:hAnsi="仿宋_GB2312" w:eastAsia="仿宋_GB2312" w:cs="仿宋_GB2312"/>
          <w:kern w:val="0"/>
          <w:sz w:val="32"/>
          <w:szCs w:val="32"/>
        </w:rPr>
        <w:t>对不符合和破坏传统村落风貌的，住建局和石板岩镇暂停影响村落整体风貌和传统建筑的建设活动，</w:t>
      </w:r>
      <w:r>
        <w:rPr>
          <w:rFonts w:hint="eastAsia" w:ascii="仿宋_GB2312" w:hAnsi="仿宋_GB2312" w:eastAsia="仿宋_GB2312" w:cs="仿宋_GB2312"/>
          <w:sz w:val="32"/>
          <w:szCs w:val="32"/>
        </w:rPr>
        <w:t>石板岩镇执法大队每天对各村违建情况进行督查，杜绝私自改建、扩建，杜绝传统村落布局被破坏；</w:t>
      </w:r>
      <w:r>
        <w:rPr>
          <w:rFonts w:hint="eastAsia" w:ascii="仿宋_GB2312" w:hAnsi="仿宋_GB2312" w:eastAsia="仿宋_GB2312" w:cs="仿宋_GB2312"/>
          <w:kern w:val="0"/>
          <w:sz w:val="32"/>
          <w:szCs w:val="32"/>
        </w:rPr>
        <w:t>对传统村落房屋倒塌的，石板岩镇结合全市传统村落集中连片保护利用示范工作，积极向上争取筹措维修保护资金，同时充分发动乡贤等社会力量共同参与保护</w:t>
      </w:r>
      <w:r>
        <w:rPr>
          <w:rFonts w:hint="eastAsia" w:ascii="仿宋_GB2312" w:hAnsi="仿宋_GB2312" w:eastAsia="仿宋_GB2312" w:cs="仿宋_GB2312"/>
          <w:sz w:val="32"/>
          <w:szCs w:val="32"/>
        </w:rPr>
        <w:t>。六是建立《风景名胜区文物保护制度》，明确了各级文物保护单位的责任单位、重点保护范围和建设控制地带，落实保护工作责任，做好日常巡查，确保破坏文物的违法行为及时发现制止。</w:t>
      </w:r>
    </w:p>
    <w:p>
      <w:pPr>
        <w:spacing w:line="580" w:lineRule="exact"/>
        <w:ind w:left="0" w:leftChars="0" w:right="0"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落实全面从严治党主体责任不到位</w:t>
      </w:r>
    </w:p>
    <w:p>
      <w:pPr>
        <w:spacing w:line="580" w:lineRule="exact"/>
        <w:ind w:left="0" w:leftChars="0" w:right="0"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lang w:eastAsia="zh-CN"/>
        </w:rPr>
        <w:t>（一）</w:t>
      </w:r>
      <w:r>
        <w:rPr>
          <w:rFonts w:hint="eastAsia" w:ascii="楷体" w:hAnsi="楷体" w:eastAsia="楷体" w:cs="楷体"/>
          <w:b/>
          <w:bCs/>
          <w:sz w:val="32"/>
          <w:szCs w:val="32"/>
        </w:rPr>
        <w:t>党建引领空泛无力。</w:t>
      </w:r>
    </w:p>
    <w:p>
      <w:pPr>
        <w:spacing w:line="580" w:lineRule="exact"/>
        <w:ind w:left="0" w:leftChars="0" w:right="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是召开党组会，专题研究党建工作，学习《中国共产党党组工作条例》、《中国共产党支部工作条例（试行）》等党内法规。二是对照《关于中国共产党党费收缴、使用和管理的规定》，按照缴纳标准追缴2021年至2023年党费3471.39，重新核定2024年党员党费，确保每名党员按月足额缴纳党费。三是制定党员发展计划，目前，已收到入党申请书6份，党支部书记对6名同志分别谈话。四是8月9日召开了巡察整改专题民主生活会，严肃认真开展批评与自我批评，确保党内政治生活不走过场、收到实效。五是印发《中共红旗渠·林虑山风景名胜区管理委员会支部委员会关于印发&lt;理论学习中心组学习制度&gt;等9个制度的通知》，修订完善理论中心组学习制度、民主生活会制度、组织生活会制度等党内政治生活制度。</w:t>
      </w:r>
    </w:p>
    <w:p>
      <w:pPr>
        <w:spacing w:line="580" w:lineRule="exact"/>
        <w:ind w:left="0" w:leftChars="0" w:right="0"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lang w:eastAsia="zh-CN"/>
        </w:rPr>
        <w:t>（二）</w:t>
      </w:r>
      <w:r>
        <w:rPr>
          <w:rFonts w:hint="eastAsia" w:ascii="楷体" w:hAnsi="楷体" w:eastAsia="楷体" w:cs="楷体"/>
          <w:b/>
          <w:bCs/>
          <w:sz w:val="32"/>
          <w:szCs w:val="32"/>
        </w:rPr>
        <w:t>管党治党严的氛围缺乏。</w:t>
      </w:r>
    </w:p>
    <w:p>
      <w:pPr>
        <w:spacing w:line="580" w:lineRule="exact"/>
        <w:ind w:left="0" w:leftChars="0" w:right="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是对2020年4月以来不符合“三重一大”程序的支出，逐笔梳理，分类核实。经分类核实，主要是水电费、房租、网络、电话、搬家、资源调查、还款及利息、诉讼、培训、体检等支出。二是组织召开“三重一大”会议，逐笔审视，确认该支出均系维持单位正常运转的刚性必要支出，不存在不合理开支，重新予以认可。三是完善《“三重一大”事项集体决策制度》，规范集体决策的范围、事项、程序等内容，严格贯彻执行到位，履行好管党治党责任。四是针对景区管理科副科长违规违纪和巡查不到位问题，开展专题以案促改。五是查阅郑州“7·20”特大暴雨灾害追责问责案件以案促改资料，查明剖析问题雷同的2名科级干部，要求2人认真对照相关要求，重新撰写个人剖析材料。六是对线下采购的主要负责人和供应商资格审查不严的招标参与人进行批评教育，责令写出深刻书面检查。七是完善《采购管理制度》等制度，组织单位全体同志学习，按要求执行到位。</w:t>
      </w:r>
    </w:p>
    <w:p>
      <w:pPr>
        <w:spacing w:line="580" w:lineRule="exact"/>
        <w:ind w:left="0" w:leftChars="0" w:right="0" w:firstLine="643" w:firstLineChars="200"/>
        <w:textAlignment w:val="auto"/>
        <w:rPr>
          <w:rFonts w:hint="eastAsia" w:ascii="楷体" w:hAnsi="楷体" w:eastAsia="楷体" w:cs="楷体"/>
          <w:b/>
          <w:bCs/>
          <w:sz w:val="32"/>
          <w:szCs w:val="32"/>
        </w:rPr>
      </w:pPr>
      <w:r>
        <w:rPr>
          <w:rFonts w:hint="eastAsia" w:ascii="楷体" w:hAnsi="楷体" w:eastAsia="楷体" w:cs="楷体"/>
          <w:b/>
          <w:bCs/>
          <w:sz w:val="32"/>
          <w:szCs w:val="32"/>
          <w:lang w:eastAsia="zh-CN"/>
        </w:rPr>
        <w:t>（三）</w:t>
      </w:r>
      <w:r>
        <w:rPr>
          <w:rFonts w:hint="eastAsia" w:ascii="楷体" w:hAnsi="楷体" w:eastAsia="楷体" w:cs="楷体"/>
          <w:b/>
          <w:bCs/>
          <w:sz w:val="32"/>
          <w:szCs w:val="32"/>
        </w:rPr>
        <w:t>干部队伍建设存在短板。</w:t>
      </w:r>
    </w:p>
    <w:p>
      <w:pPr>
        <w:spacing w:line="580" w:lineRule="exact"/>
        <w:ind w:left="0" w:leftChars="0" w:right="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是建立《科室岗位责任制度》，进一步明确科长、副科长职责以及科室人员职责。二是呈市委《关于请求红旗渠·林虑山风景名胜区管理委员会优化中层正副职配置的报告》，请求市委尽快将中层干部配备到位，提升干部队伍工作积极性和活力。三是督促借调人员尽快到岗履职。四是通过全市组织的公开招聘，已聘任3名专业对口工作人员上岗履职，提高了专业人才比重，为风景名胜区资源保护提供了有力的人才支撑。五是建立《干部教育培训规划和岗位成长目标（试行）》，明确了培训内容、干部成长目标及2024年培训计划等内容，截至目前，已培训学习10次，提升了干部专业素养。</w:t>
      </w:r>
    </w:p>
    <w:p>
      <w:pPr>
        <w:spacing w:line="580" w:lineRule="exact"/>
        <w:ind w:left="0" w:leftChars="0" w:right="0" w:firstLine="640" w:firstLineChars="200"/>
        <w:textAlignment w:val="auto"/>
        <w:rPr>
          <w:rFonts w:hint="eastAsia" w:ascii="仿宋_GB2312" w:hAnsi="宋体" w:eastAsia="仿宋_GB2312" w:cs="宋体"/>
          <w:kern w:val="0"/>
          <w:sz w:val="32"/>
          <w:szCs w:val="32"/>
        </w:rPr>
      </w:pPr>
    </w:p>
    <w:p>
      <w:pPr>
        <w:spacing w:line="580" w:lineRule="exact"/>
        <w:ind w:left="0" w:leftChars="0" w:right="0" w:firstLine="640" w:firstLineChars="200"/>
        <w:textAlignment w:val="auto"/>
        <w:rPr>
          <w:rFonts w:ascii="仿宋_GB2312" w:hAnsi="宋体" w:eastAsia="仿宋_GB2312" w:cs="宋体"/>
          <w:kern w:val="0"/>
          <w:sz w:val="32"/>
          <w:szCs w:val="32"/>
        </w:rPr>
      </w:pPr>
      <w:r>
        <w:rPr>
          <w:rFonts w:hint="eastAsia" w:ascii="仿宋_GB2312" w:hAnsi="宋体" w:eastAsia="仿宋_GB2312" w:cs="宋体"/>
          <w:kern w:val="0"/>
          <w:sz w:val="32"/>
          <w:szCs w:val="32"/>
        </w:rPr>
        <w:t>欢迎广大干部对巡察整改落实情况进行监督。如有意见和建议，请及时向我们反映。</w:t>
      </w:r>
      <w:r>
        <w:rPr>
          <w:rFonts w:hint="eastAsia" w:ascii="仿宋_GB2312" w:hAnsi="宋体" w:eastAsia="仿宋_GB2312" w:cs="宋体"/>
          <w:kern w:val="0"/>
          <w:sz w:val="32"/>
          <w:szCs w:val="32"/>
          <w:lang w:eastAsia="zh-CN"/>
        </w:rPr>
        <w:t>联系方式：</w:t>
      </w:r>
      <w:r>
        <w:rPr>
          <w:rFonts w:hint="eastAsia" w:ascii="仿宋_GB2312" w:hAnsi="宋体" w:eastAsia="仿宋_GB2312" w:cs="宋体"/>
          <w:kern w:val="0"/>
          <w:sz w:val="32"/>
          <w:szCs w:val="32"/>
        </w:rPr>
        <w:t>电话0372-6808602；</w:t>
      </w:r>
      <w:r>
        <w:rPr>
          <w:rFonts w:hint="eastAsia" w:ascii="仿宋_GB2312" w:hAnsi="宋体" w:eastAsia="仿宋_GB2312" w:cs="宋体"/>
          <w:kern w:val="0"/>
          <w:sz w:val="32"/>
          <w:szCs w:val="32"/>
          <w:lang w:val="en-US" w:eastAsia="zh-CN"/>
        </w:rPr>
        <w:t>邮政信箱：林州市红旗渠政务服务中心7楼；</w:t>
      </w:r>
      <w:r>
        <w:rPr>
          <w:rFonts w:hint="eastAsia" w:ascii="仿宋_GB2312" w:hAnsi="宋体" w:eastAsia="仿宋_GB2312" w:cs="宋体"/>
          <w:color w:val="auto"/>
          <w:kern w:val="0"/>
          <w:sz w:val="32"/>
          <w:szCs w:val="32"/>
        </w:rPr>
        <w:t>电子邮箱</w:t>
      </w:r>
      <w:r>
        <w:rPr>
          <w:rFonts w:hint="default" w:ascii="Times New Roman" w:hAnsi="Times New Roman" w:eastAsia="仿宋_GB2312" w:cs="Times New Roman"/>
          <w:color w:val="auto"/>
          <w:kern w:val="0"/>
          <w:sz w:val="32"/>
          <w:szCs w:val="32"/>
        </w:rPr>
        <w:t>cnlls@126.com</w:t>
      </w:r>
      <w:r>
        <w:rPr>
          <w:rFonts w:hint="eastAsia" w:ascii="仿宋_GB2312" w:hAnsi="宋体" w:eastAsia="仿宋_GB2312" w:cs="宋体"/>
          <w:kern w:val="0"/>
          <w:sz w:val="32"/>
          <w:szCs w:val="32"/>
        </w:rPr>
        <w:t>。</w:t>
      </w:r>
    </w:p>
    <w:p>
      <w:pPr>
        <w:spacing w:line="580" w:lineRule="exact"/>
        <w:ind w:left="0" w:leftChars="0" w:right="0" w:firstLine="640" w:firstLineChars="200"/>
        <w:textAlignment w:val="auto"/>
        <w:rPr>
          <w:rFonts w:ascii="仿宋_GB2312" w:hAnsi="宋体" w:eastAsia="仿宋_GB2312" w:cs="宋体"/>
          <w:kern w:val="0"/>
          <w:sz w:val="32"/>
          <w:szCs w:val="32"/>
        </w:rPr>
      </w:pPr>
    </w:p>
    <w:p>
      <w:pPr>
        <w:spacing w:line="580" w:lineRule="exact"/>
        <w:ind w:left="0" w:leftChars="0" w:right="0" w:firstLine="640" w:firstLineChars="200"/>
        <w:textAlignment w:val="auto"/>
        <w:rPr>
          <w:rFonts w:ascii="仿宋_GB2312" w:hAnsi="宋体" w:eastAsia="仿宋_GB2312" w:cs="宋体"/>
          <w:kern w:val="0"/>
          <w:sz w:val="32"/>
          <w:szCs w:val="32"/>
        </w:rPr>
      </w:pPr>
    </w:p>
    <w:p>
      <w:pPr>
        <w:spacing w:line="580" w:lineRule="exact"/>
        <w:ind w:left="0" w:leftChars="0" w:right="0" w:firstLine="640" w:firstLineChars="200"/>
        <w:textAlignment w:val="auto"/>
        <w:rPr>
          <w:rFonts w:hint="eastAsia" w:ascii="仿宋_GB2312" w:hAnsi="宋体" w:eastAsia="仿宋_GB2312" w:cs="宋体"/>
          <w:kern w:val="0"/>
          <w:sz w:val="32"/>
          <w:szCs w:val="32"/>
        </w:rPr>
      </w:pPr>
      <w:r>
        <w:rPr>
          <w:rFonts w:hint="eastAsia" w:ascii="仿宋_GB2312" w:hAnsi="宋体" w:eastAsia="仿宋_GB2312" w:cs="宋体"/>
          <w:kern w:val="0"/>
          <w:sz w:val="32"/>
          <w:szCs w:val="32"/>
          <w:lang w:val="en-US" w:eastAsia="zh-CN"/>
        </w:rPr>
        <w:t xml:space="preserve">                    </w:t>
      </w:r>
      <w:r>
        <w:rPr>
          <w:rFonts w:hint="eastAsia" w:ascii="仿宋_GB2312" w:hAnsi="宋体" w:eastAsia="仿宋_GB2312" w:cs="宋体"/>
          <w:kern w:val="0"/>
          <w:sz w:val="32"/>
          <w:szCs w:val="32"/>
        </w:rPr>
        <w:t>中共红旗渠·林虑山风景名胜区</w:t>
      </w:r>
    </w:p>
    <w:p>
      <w:pPr>
        <w:spacing w:line="580" w:lineRule="exact"/>
        <w:ind w:left="0" w:leftChars="0" w:right="0" w:firstLine="640" w:firstLineChars="200"/>
        <w:textAlignment w:val="auto"/>
        <w:rPr>
          <w:rFonts w:ascii="仿宋_GB2312" w:hAnsi="宋体" w:eastAsia="仿宋_GB2312" w:cs="宋体"/>
          <w:kern w:val="0"/>
          <w:sz w:val="32"/>
          <w:szCs w:val="32"/>
        </w:rPr>
      </w:pPr>
      <w:r>
        <w:rPr>
          <w:rFonts w:hint="eastAsia" w:ascii="仿宋_GB2312" w:hAnsi="宋体" w:eastAsia="仿宋_GB2312" w:cs="宋体"/>
          <w:kern w:val="0"/>
          <w:sz w:val="32"/>
          <w:szCs w:val="32"/>
          <w:lang w:val="en-US" w:eastAsia="zh-CN"/>
        </w:rPr>
        <w:t xml:space="preserve">                            </w:t>
      </w:r>
      <w:r>
        <w:rPr>
          <w:rFonts w:hint="eastAsia" w:ascii="仿宋_GB2312" w:hAnsi="宋体" w:eastAsia="仿宋_GB2312" w:cs="宋体"/>
          <w:kern w:val="0"/>
          <w:sz w:val="32"/>
          <w:szCs w:val="32"/>
        </w:rPr>
        <w:t>管理委员会党组</w:t>
      </w:r>
    </w:p>
    <w:p>
      <w:pPr>
        <w:wordWrap w:val="0"/>
        <w:spacing w:line="580" w:lineRule="exact"/>
        <w:ind w:left="0" w:leftChars="0" w:right="0" w:firstLine="640" w:firstLineChars="200"/>
        <w:jc w:val="right"/>
        <w:textAlignment w:val="auto"/>
        <w:rPr>
          <w:rFonts w:ascii="仿宋_GB2312" w:hAnsi="宋体" w:eastAsia="仿宋_GB2312" w:cs="宋体"/>
          <w:kern w:val="0"/>
          <w:sz w:val="32"/>
          <w:szCs w:val="32"/>
        </w:rPr>
      </w:pPr>
      <w:r>
        <w:rPr>
          <w:rFonts w:hint="eastAsia" w:ascii="仿宋_GB2312" w:hAnsi="宋体" w:eastAsia="仿宋_GB2312" w:cs="宋体"/>
          <w:kern w:val="0"/>
          <w:sz w:val="32"/>
          <w:szCs w:val="32"/>
        </w:rPr>
        <w:t>2024年11月</w:t>
      </w:r>
      <w:r>
        <w:rPr>
          <w:rFonts w:hint="eastAsia" w:ascii="仿宋_GB2312" w:hAnsi="宋体" w:eastAsia="仿宋_GB2312" w:cs="宋体"/>
          <w:kern w:val="0"/>
          <w:sz w:val="32"/>
          <w:szCs w:val="32"/>
          <w:lang w:val="en-US" w:eastAsia="zh-CN"/>
        </w:rPr>
        <w:t>25</w:t>
      </w:r>
      <w:r>
        <w:rPr>
          <w:rFonts w:hint="eastAsia" w:ascii="仿宋_GB2312" w:hAnsi="宋体" w:eastAsia="仿宋_GB2312" w:cs="宋体"/>
          <w:kern w:val="0"/>
          <w:sz w:val="32"/>
          <w:szCs w:val="32"/>
        </w:rPr>
        <w:t>日　　　　</w:t>
      </w:r>
    </w:p>
    <w:p>
      <w:pPr>
        <w:spacing w:line="560" w:lineRule="exact"/>
        <w:ind w:firstLine="640" w:firstLineChars="200"/>
        <w:jc w:val="right"/>
        <w:rPr>
          <w:rFonts w:ascii="仿宋_GB2312" w:hAnsi="宋体" w:eastAsia="仿宋_GB2312" w:cs="宋体"/>
          <w:kern w:val="0"/>
          <w:sz w:val="32"/>
          <w:szCs w:val="32"/>
        </w:rPr>
      </w:pPr>
    </w:p>
    <w:sectPr>
      <w:footerReference r:id="rId3" w:type="default"/>
      <w:footerReference r:id="rId4" w:type="even"/>
      <w:pgSz w:w="11906" w:h="16838"/>
      <w:pgMar w:top="2098" w:right="1474" w:bottom="1984" w:left="1587" w:header="851" w:footer="1077"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right"/>
    </w:pPr>
    <w:r>
      <w:rPr>
        <w:sz w:val="18"/>
      </w:rPr>
      <w:pict>
        <v:shape id="_x0000_s2049" o:spid="_x0000_s2049"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6"/>
                  <w:rPr>
                    <w:rFonts w:hint="default" w:ascii="Times New Roman" w:hAnsi="Times New Roman" w:cs="Times New Roman"/>
                    <w:sz w:val="32"/>
                    <w:szCs w:val="32"/>
                  </w:rPr>
                </w:pPr>
                <w:r>
                  <w:rPr>
                    <w:rFonts w:hint="default" w:ascii="Times New Roman" w:hAnsi="Times New Roman" w:cs="Times New Roman"/>
                    <w:sz w:val="32"/>
                    <w:szCs w:val="32"/>
                  </w:rPr>
                  <w:t xml:space="preserve">— </w:t>
                </w:r>
                <w:r>
                  <w:rPr>
                    <w:rFonts w:hint="default" w:ascii="Times New Roman" w:hAnsi="Times New Roman" w:cs="Times New Roman"/>
                    <w:sz w:val="32"/>
                    <w:szCs w:val="32"/>
                  </w:rPr>
                  <w:fldChar w:fldCharType="begin"/>
                </w:r>
                <w:r>
                  <w:rPr>
                    <w:rFonts w:hint="default" w:ascii="Times New Roman" w:hAnsi="Times New Roman" w:cs="Times New Roman"/>
                    <w:sz w:val="32"/>
                    <w:szCs w:val="32"/>
                  </w:rPr>
                  <w:instrText xml:space="preserve"> PAGE  \* MERGEFORMAT </w:instrText>
                </w:r>
                <w:r>
                  <w:rPr>
                    <w:rFonts w:hint="default" w:ascii="Times New Roman" w:hAnsi="Times New Roman" w:cs="Times New Roman"/>
                    <w:sz w:val="32"/>
                    <w:szCs w:val="32"/>
                  </w:rPr>
                  <w:fldChar w:fldCharType="separate"/>
                </w:r>
                <w:r>
                  <w:rPr>
                    <w:rFonts w:hint="default" w:ascii="Times New Roman" w:hAnsi="Times New Roman" w:cs="Times New Roman"/>
                    <w:sz w:val="32"/>
                    <w:szCs w:val="32"/>
                  </w:rPr>
                  <w:t>- 1 -</w:t>
                </w:r>
                <w:r>
                  <w:rPr>
                    <w:rFonts w:hint="default" w:ascii="Times New Roman" w:hAnsi="Times New Roman" w:cs="Times New Roman"/>
                    <w:sz w:val="32"/>
                    <w:szCs w:val="32"/>
                  </w:rPr>
                  <w:fldChar w:fldCharType="end"/>
                </w:r>
                <w:r>
                  <w:rPr>
                    <w:rFonts w:hint="default" w:ascii="Times New Roman" w:hAnsi="Times New Roman" w:cs="Times New Roman"/>
                    <w:sz w:val="32"/>
                    <w:szCs w:val="32"/>
                  </w:rPr>
                  <w:t xml:space="preserve"> —</w:t>
                </w:r>
              </w:p>
            </w:txbxContent>
          </v:textbox>
        </v:shape>
      </w:pict>
    </w:r>
  </w:p>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ascii="宋体" w:hAnsi="宋体" w:eastAsia="宋体"/>
        <w:sz w:val="28"/>
        <w:szCs w:val="28"/>
      </w:rPr>
    </w:pPr>
    <w:r>
      <w:rPr>
        <w:sz w:val="28"/>
      </w:rPr>
      <w:pict>
        <v:shape id="_x0000_s2050" o:spid="_x0000_s2050" o:spt="202" type="#_x0000_t202" style="position:absolute;left:0pt;margin-top:0pt;height:144pt;width:144pt;mso-position-horizontal:outside;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6"/>
                  <w:rPr>
                    <w:rFonts w:hint="default" w:ascii="Times New Roman" w:hAnsi="Times New Roman" w:cs="Times New Roman"/>
                    <w:sz w:val="32"/>
                    <w:szCs w:val="32"/>
                  </w:rPr>
                </w:pPr>
                <w:r>
                  <w:rPr>
                    <w:rFonts w:hint="default" w:ascii="Times New Roman" w:hAnsi="Times New Roman" w:cs="Times New Roman"/>
                    <w:sz w:val="32"/>
                    <w:szCs w:val="32"/>
                  </w:rPr>
                  <w:t xml:space="preserve">— </w:t>
                </w:r>
                <w:r>
                  <w:rPr>
                    <w:rFonts w:hint="default" w:ascii="Times New Roman" w:hAnsi="Times New Roman" w:cs="Times New Roman"/>
                    <w:sz w:val="32"/>
                    <w:szCs w:val="32"/>
                  </w:rPr>
                  <w:fldChar w:fldCharType="begin"/>
                </w:r>
                <w:r>
                  <w:rPr>
                    <w:rFonts w:hint="default" w:ascii="Times New Roman" w:hAnsi="Times New Roman" w:cs="Times New Roman"/>
                    <w:sz w:val="32"/>
                    <w:szCs w:val="32"/>
                  </w:rPr>
                  <w:instrText xml:space="preserve"> PAGE  \* MERGEFORMAT </w:instrText>
                </w:r>
                <w:r>
                  <w:rPr>
                    <w:rFonts w:hint="default" w:ascii="Times New Roman" w:hAnsi="Times New Roman" w:cs="Times New Roman"/>
                    <w:sz w:val="32"/>
                    <w:szCs w:val="32"/>
                  </w:rPr>
                  <w:fldChar w:fldCharType="separate"/>
                </w:r>
                <w:r>
                  <w:rPr>
                    <w:rFonts w:hint="default" w:ascii="Times New Roman" w:hAnsi="Times New Roman" w:cs="Times New Roman"/>
                    <w:sz w:val="32"/>
                    <w:szCs w:val="32"/>
                  </w:rPr>
                  <w:t>2</w:t>
                </w:r>
                <w:r>
                  <w:rPr>
                    <w:rFonts w:hint="default" w:ascii="Times New Roman" w:hAnsi="Times New Roman" w:cs="Times New Roman"/>
                    <w:sz w:val="32"/>
                    <w:szCs w:val="32"/>
                  </w:rPr>
                  <w:fldChar w:fldCharType="end"/>
                </w:r>
                <w:r>
                  <w:rPr>
                    <w:rFonts w:hint="default" w:ascii="Times New Roman" w:hAnsi="Times New Roman" w:cs="Times New Roman"/>
                    <w:sz w:val="32"/>
                    <w:szCs w:val="32"/>
                  </w:rPr>
                  <w:t xml:space="preserve"> —</w:t>
                </w:r>
              </w:p>
            </w:txbxContent>
          </v:textbox>
        </v:shape>
      </w:pict>
    </w:r>
  </w:p>
  <w:p>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evenAndOddHeaders w:val="1"/>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docVars>
    <w:docVar w:name="commondata" w:val="eyJoZGlkIjoiMWI1YjJiZWE0Yzg4NTBhNTdmOTQ5YTUxYWExN2U5NWQifQ=="/>
  </w:docVars>
  <w:rsids>
    <w:rsidRoot w:val="3ABD64DD"/>
    <w:rsid w:val="00003333"/>
    <w:rsid w:val="00011676"/>
    <w:rsid w:val="0002121D"/>
    <w:rsid w:val="00035A50"/>
    <w:rsid w:val="00040BA7"/>
    <w:rsid w:val="000512C9"/>
    <w:rsid w:val="00063AE4"/>
    <w:rsid w:val="00064419"/>
    <w:rsid w:val="00065E5D"/>
    <w:rsid w:val="000828DD"/>
    <w:rsid w:val="00084BBB"/>
    <w:rsid w:val="00087088"/>
    <w:rsid w:val="000C0E30"/>
    <w:rsid w:val="000E1777"/>
    <w:rsid w:val="000E4B7C"/>
    <w:rsid w:val="000F4A73"/>
    <w:rsid w:val="00106466"/>
    <w:rsid w:val="00144144"/>
    <w:rsid w:val="00152002"/>
    <w:rsid w:val="0017707B"/>
    <w:rsid w:val="00186E4E"/>
    <w:rsid w:val="00190FDA"/>
    <w:rsid w:val="001A299D"/>
    <w:rsid w:val="001B4B43"/>
    <w:rsid w:val="001C333A"/>
    <w:rsid w:val="001D2420"/>
    <w:rsid w:val="001D4C40"/>
    <w:rsid w:val="001F0634"/>
    <w:rsid w:val="00205F15"/>
    <w:rsid w:val="00214938"/>
    <w:rsid w:val="002201AF"/>
    <w:rsid w:val="00220DE8"/>
    <w:rsid w:val="002262B9"/>
    <w:rsid w:val="00250CD9"/>
    <w:rsid w:val="0025506F"/>
    <w:rsid w:val="002568B1"/>
    <w:rsid w:val="00260F22"/>
    <w:rsid w:val="00267974"/>
    <w:rsid w:val="002839C0"/>
    <w:rsid w:val="00286583"/>
    <w:rsid w:val="00295481"/>
    <w:rsid w:val="0029786B"/>
    <w:rsid w:val="002A3E74"/>
    <w:rsid w:val="002B01B3"/>
    <w:rsid w:val="002C1B0C"/>
    <w:rsid w:val="002C7F92"/>
    <w:rsid w:val="002E4C53"/>
    <w:rsid w:val="003015E9"/>
    <w:rsid w:val="00302FAA"/>
    <w:rsid w:val="0033642F"/>
    <w:rsid w:val="00343579"/>
    <w:rsid w:val="00346AE8"/>
    <w:rsid w:val="003623A3"/>
    <w:rsid w:val="00382DC0"/>
    <w:rsid w:val="003832BD"/>
    <w:rsid w:val="003C1626"/>
    <w:rsid w:val="00407C33"/>
    <w:rsid w:val="0042142F"/>
    <w:rsid w:val="004222EE"/>
    <w:rsid w:val="00434096"/>
    <w:rsid w:val="0046153D"/>
    <w:rsid w:val="0049456C"/>
    <w:rsid w:val="00494AA8"/>
    <w:rsid w:val="004A0DC2"/>
    <w:rsid w:val="004C753A"/>
    <w:rsid w:val="004D2EE9"/>
    <w:rsid w:val="004D642F"/>
    <w:rsid w:val="004E23D0"/>
    <w:rsid w:val="004E5553"/>
    <w:rsid w:val="004E633D"/>
    <w:rsid w:val="00520B82"/>
    <w:rsid w:val="00555B6B"/>
    <w:rsid w:val="00583549"/>
    <w:rsid w:val="005A3ACC"/>
    <w:rsid w:val="005B2155"/>
    <w:rsid w:val="005B2701"/>
    <w:rsid w:val="005B4753"/>
    <w:rsid w:val="005B686F"/>
    <w:rsid w:val="005C5B9D"/>
    <w:rsid w:val="005E2AB4"/>
    <w:rsid w:val="005F04AB"/>
    <w:rsid w:val="005F7240"/>
    <w:rsid w:val="00633662"/>
    <w:rsid w:val="0064028F"/>
    <w:rsid w:val="00655A54"/>
    <w:rsid w:val="00655B83"/>
    <w:rsid w:val="00666D30"/>
    <w:rsid w:val="006674E8"/>
    <w:rsid w:val="006709A0"/>
    <w:rsid w:val="006812CA"/>
    <w:rsid w:val="00693687"/>
    <w:rsid w:val="006A165D"/>
    <w:rsid w:val="006A3DB7"/>
    <w:rsid w:val="006E20DD"/>
    <w:rsid w:val="006E3E6F"/>
    <w:rsid w:val="006E60FB"/>
    <w:rsid w:val="006F57EE"/>
    <w:rsid w:val="006F7113"/>
    <w:rsid w:val="00701FEA"/>
    <w:rsid w:val="00703E1E"/>
    <w:rsid w:val="007116E0"/>
    <w:rsid w:val="00715DF3"/>
    <w:rsid w:val="0072144C"/>
    <w:rsid w:val="00731AF2"/>
    <w:rsid w:val="007502DD"/>
    <w:rsid w:val="0075085B"/>
    <w:rsid w:val="00750A90"/>
    <w:rsid w:val="00757B56"/>
    <w:rsid w:val="00761A09"/>
    <w:rsid w:val="0077299F"/>
    <w:rsid w:val="00775769"/>
    <w:rsid w:val="007853B6"/>
    <w:rsid w:val="007A74B2"/>
    <w:rsid w:val="007D1157"/>
    <w:rsid w:val="007D5EBB"/>
    <w:rsid w:val="007F4A8C"/>
    <w:rsid w:val="007F60BE"/>
    <w:rsid w:val="00803AB2"/>
    <w:rsid w:val="00831D4E"/>
    <w:rsid w:val="00832C62"/>
    <w:rsid w:val="00842DAE"/>
    <w:rsid w:val="00850EC2"/>
    <w:rsid w:val="00863B11"/>
    <w:rsid w:val="00872474"/>
    <w:rsid w:val="00876006"/>
    <w:rsid w:val="00887960"/>
    <w:rsid w:val="00893F52"/>
    <w:rsid w:val="008947BC"/>
    <w:rsid w:val="0089529E"/>
    <w:rsid w:val="008A05C8"/>
    <w:rsid w:val="008C02F6"/>
    <w:rsid w:val="008C48B3"/>
    <w:rsid w:val="008C5406"/>
    <w:rsid w:val="008C668E"/>
    <w:rsid w:val="008C7DC0"/>
    <w:rsid w:val="008E1584"/>
    <w:rsid w:val="008E1C68"/>
    <w:rsid w:val="008F149C"/>
    <w:rsid w:val="009003FF"/>
    <w:rsid w:val="009041D7"/>
    <w:rsid w:val="00904A9D"/>
    <w:rsid w:val="00916B47"/>
    <w:rsid w:val="00990B0C"/>
    <w:rsid w:val="00997CFA"/>
    <w:rsid w:val="009A7F7C"/>
    <w:rsid w:val="009B635E"/>
    <w:rsid w:val="009C5D7E"/>
    <w:rsid w:val="009D0608"/>
    <w:rsid w:val="009D7298"/>
    <w:rsid w:val="009E0FF0"/>
    <w:rsid w:val="009E3C49"/>
    <w:rsid w:val="009F0C00"/>
    <w:rsid w:val="009F5F08"/>
    <w:rsid w:val="009F60B8"/>
    <w:rsid w:val="009F73BE"/>
    <w:rsid w:val="00A0778E"/>
    <w:rsid w:val="00A175EA"/>
    <w:rsid w:val="00A228C0"/>
    <w:rsid w:val="00A302E7"/>
    <w:rsid w:val="00A304BF"/>
    <w:rsid w:val="00A31F91"/>
    <w:rsid w:val="00A33EE4"/>
    <w:rsid w:val="00A82D66"/>
    <w:rsid w:val="00AA5C2A"/>
    <w:rsid w:val="00AE005E"/>
    <w:rsid w:val="00AE32B4"/>
    <w:rsid w:val="00AE3E29"/>
    <w:rsid w:val="00AF04EA"/>
    <w:rsid w:val="00B029BB"/>
    <w:rsid w:val="00B02E26"/>
    <w:rsid w:val="00B04336"/>
    <w:rsid w:val="00B13EDA"/>
    <w:rsid w:val="00B4538D"/>
    <w:rsid w:val="00B46099"/>
    <w:rsid w:val="00B53D45"/>
    <w:rsid w:val="00B65B9F"/>
    <w:rsid w:val="00B673B2"/>
    <w:rsid w:val="00B76E15"/>
    <w:rsid w:val="00B929C0"/>
    <w:rsid w:val="00B97940"/>
    <w:rsid w:val="00BC3683"/>
    <w:rsid w:val="00BC3EC6"/>
    <w:rsid w:val="00BD385B"/>
    <w:rsid w:val="00BE5F38"/>
    <w:rsid w:val="00BE632A"/>
    <w:rsid w:val="00BF6E71"/>
    <w:rsid w:val="00C009C4"/>
    <w:rsid w:val="00C05CC7"/>
    <w:rsid w:val="00C17736"/>
    <w:rsid w:val="00C34438"/>
    <w:rsid w:val="00C655C2"/>
    <w:rsid w:val="00C83187"/>
    <w:rsid w:val="00C84C3C"/>
    <w:rsid w:val="00CA76EA"/>
    <w:rsid w:val="00CB43F5"/>
    <w:rsid w:val="00CD5119"/>
    <w:rsid w:val="00CF35AF"/>
    <w:rsid w:val="00CF48B0"/>
    <w:rsid w:val="00D349D8"/>
    <w:rsid w:val="00D41EEE"/>
    <w:rsid w:val="00D60194"/>
    <w:rsid w:val="00D60E3B"/>
    <w:rsid w:val="00D71F30"/>
    <w:rsid w:val="00D7546E"/>
    <w:rsid w:val="00D8520F"/>
    <w:rsid w:val="00DA275C"/>
    <w:rsid w:val="00DB2ABC"/>
    <w:rsid w:val="00DB32A6"/>
    <w:rsid w:val="00DC463C"/>
    <w:rsid w:val="00DD4156"/>
    <w:rsid w:val="00DE55C0"/>
    <w:rsid w:val="00E0455D"/>
    <w:rsid w:val="00E13589"/>
    <w:rsid w:val="00E14746"/>
    <w:rsid w:val="00E30FA0"/>
    <w:rsid w:val="00E34EBD"/>
    <w:rsid w:val="00E44296"/>
    <w:rsid w:val="00E4591A"/>
    <w:rsid w:val="00E46C71"/>
    <w:rsid w:val="00E5084D"/>
    <w:rsid w:val="00E526B0"/>
    <w:rsid w:val="00E530C9"/>
    <w:rsid w:val="00E651A3"/>
    <w:rsid w:val="00EC0387"/>
    <w:rsid w:val="00EC3D32"/>
    <w:rsid w:val="00EC48A9"/>
    <w:rsid w:val="00EE5520"/>
    <w:rsid w:val="00EF1E53"/>
    <w:rsid w:val="00EF250B"/>
    <w:rsid w:val="00EF7F0A"/>
    <w:rsid w:val="00F149F6"/>
    <w:rsid w:val="00F226B5"/>
    <w:rsid w:val="00F25604"/>
    <w:rsid w:val="00F32B1C"/>
    <w:rsid w:val="00F32F34"/>
    <w:rsid w:val="00F51EE2"/>
    <w:rsid w:val="00FA1B3A"/>
    <w:rsid w:val="00FA1D28"/>
    <w:rsid w:val="00FA680E"/>
    <w:rsid w:val="00FC0167"/>
    <w:rsid w:val="00FC11DC"/>
    <w:rsid w:val="00FD6B89"/>
    <w:rsid w:val="02752E4A"/>
    <w:rsid w:val="04AD7D52"/>
    <w:rsid w:val="052917A6"/>
    <w:rsid w:val="053B7EB8"/>
    <w:rsid w:val="06406F67"/>
    <w:rsid w:val="07432B28"/>
    <w:rsid w:val="07725D3C"/>
    <w:rsid w:val="077D5B1C"/>
    <w:rsid w:val="08955281"/>
    <w:rsid w:val="08A22F63"/>
    <w:rsid w:val="08AA3916"/>
    <w:rsid w:val="08AD72CF"/>
    <w:rsid w:val="090B3C91"/>
    <w:rsid w:val="09B503DE"/>
    <w:rsid w:val="0A22189A"/>
    <w:rsid w:val="0A923CC1"/>
    <w:rsid w:val="0AC43EB2"/>
    <w:rsid w:val="0AC464CA"/>
    <w:rsid w:val="0AFA59E4"/>
    <w:rsid w:val="0B0C539A"/>
    <w:rsid w:val="0B6E730A"/>
    <w:rsid w:val="0B821B8B"/>
    <w:rsid w:val="0C864AE1"/>
    <w:rsid w:val="0D62237D"/>
    <w:rsid w:val="0ED16F6E"/>
    <w:rsid w:val="0F5A68DD"/>
    <w:rsid w:val="0F8B4CE8"/>
    <w:rsid w:val="106526DD"/>
    <w:rsid w:val="11AC7150"/>
    <w:rsid w:val="1202316B"/>
    <w:rsid w:val="12112056"/>
    <w:rsid w:val="12E207FC"/>
    <w:rsid w:val="131808C7"/>
    <w:rsid w:val="139E05DC"/>
    <w:rsid w:val="18786026"/>
    <w:rsid w:val="1A3567D7"/>
    <w:rsid w:val="1AF9369D"/>
    <w:rsid w:val="1B595798"/>
    <w:rsid w:val="1FC32D96"/>
    <w:rsid w:val="1FF62D6C"/>
    <w:rsid w:val="201C7BDE"/>
    <w:rsid w:val="203B5FCA"/>
    <w:rsid w:val="20701A58"/>
    <w:rsid w:val="20CA7B0E"/>
    <w:rsid w:val="213E7D35"/>
    <w:rsid w:val="21E51491"/>
    <w:rsid w:val="235717E7"/>
    <w:rsid w:val="240B5FA0"/>
    <w:rsid w:val="24ED0ABD"/>
    <w:rsid w:val="252C4420"/>
    <w:rsid w:val="2668272C"/>
    <w:rsid w:val="26BA7559"/>
    <w:rsid w:val="27D97FD6"/>
    <w:rsid w:val="28780CD0"/>
    <w:rsid w:val="28C72DDD"/>
    <w:rsid w:val="29470488"/>
    <w:rsid w:val="298717F0"/>
    <w:rsid w:val="2A500BB0"/>
    <w:rsid w:val="2A8B6374"/>
    <w:rsid w:val="2ACE34C4"/>
    <w:rsid w:val="2AF054B9"/>
    <w:rsid w:val="2B7F0909"/>
    <w:rsid w:val="2CC31472"/>
    <w:rsid w:val="2CD0395C"/>
    <w:rsid w:val="2D4A18E7"/>
    <w:rsid w:val="2E34774F"/>
    <w:rsid w:val="2EC42E0A"/>
    <w:rsid w:val="2EE83840"/>
    <w:rsid w:val="33404EA1"/>
    <w:rsid w:val="338B5759"/>
    <w:rsid w:val="338D4338"/>
    <w:rsid w:val="34662540"/>
    <w:rsid w:val="35285478"/>
    <w:rsid w:val="354E1291"/>
    <w:rsid w:val="36EF52AD"/>
    <w:rsid w:val="373F44A3"/>
    <w:rsid w:val="381C20D2"/>
    <w:rsid w:val="384B75DB"/>
    <w:rsid w:val="38871C41"/>
    <w:rsid w:val="390D44BF"/>
    <w:rsid w:val="3ABD64DD"/>
    <w:rsid w:val="3B772BAE"/>
    <w:rsid w:val="3D9721CF"/>
    <w:rsid w:val="3DFF04CC"/>
    <w:rsid w:val="3E055A8E"/>
    <w:rsid w:val="3EAD7ABF"/>
    <w:rsid w:val="3F260B7C"/>
    <w:rsid w:val="3F3DAA4D"/>
    <w:rsid w:val="3F9F5B9F"/>
    <w:rsid w:val="40BA7A85"/>
    <w:rsid w:val="40D75667"/>
    <w:rsid w:val="4249440B"/>
    <w:rsid w:val="42674612"/>
    <w:rsid w:val="428223CC"/>
    <w:rsid w:val="428D0F0D"/>
    <w:rsid w:val="42DA07A0"/>
    <w:rsid w:val="4420119C"/>
    <w:rsid w:val="453B2ABA"/>
    <w:rsid w:val="45723656"/>
    <w:rsid w:val="48336017"/>
    <w:rsid w:val="492C030C"/>
    <w:rsid w:val="4BA76B6C"/>
    <w:rsid w:val="4DDC4D00"/>
    <w:rsid w:val="4E06172A"/>
    <w:rsid w:val="4E725F83"/>
    <w:rsid w:val="4EE02CC4"/>
    <w:rsid w:val="4FA57B27"/>
    <w:rsid w:val="50473CED"/>
    <w:rsid w:val="529539E9"/>
    <w:rsid w:val="532631F4"/>
    <w:rsid w:val="5699266D"/>
    <w:rsid w:val="57081D47"/>
    <w:rsid w:val="5728722C"/>
    <w:rsid w:val="575D07ED"/>
    <w:rsid w:val="576144A3"/>
    <w:rsid w:val="57C928D2"/>
    <w:rsid w:val="588C5B5C"/>
    <w:rsid w:val="58E014AC"/>
    <w:rsid w:val="59535BC3"/>
    <w:rsid w:val="5958194A"/>
    <w:rsid w:val="59B6211E"/>
    <w:rsid w:val="5A597DC2"/>
    <w:rsid w:val="5BC5499D"/>
    <w:rsid w:val="5C522A36"/>
    <w:rsid w:val="5DBE27EA"/>
    <w:rsid w:val="5E5C2D70"/>
    <w:rsid w:val="5E6A32E8"/>
    <w:rsid w:val="5EDC077A"/>
    <w:rsid w:val="600C17D2"/>
    <w:rsid w:val="616F2776"/>
    <w:rsid w:val="61770CE8"/>
    <w:rsid w:val="61A53290"/>
    <w:rsid w:val="626B7C40"/>
    <w:rsid w:val="6298793E"/>
    <w:rsid w:val="62BB05B6"/>
    <w:rsid w:val="6301606B"/>
    <w:rsid w:val="654651D2"/>
    <w:rsid w:val="659D21F5"/>
    <w:rsid w:val="665E1524"/>
    <w:rsid w:val="66F8326A"/>
    <w:rsid w:val="67C372D7"/>
    <w:rsid w:val="681E0AFC"/>
    <w:rsid w:val="68CF0917"/>
    <w:rsid w:val="6975143C"/>
    <w:rsid w:val="6B6C68F1"/>
    <w:rsid w:val="6B915300"/>
    <w:rsid w:val="6C4857CD"/>
    <w:rsid w:val="6CE03C22"/>
    <w:rsid w:val="6DC00ADD"/>
    <w:rsid w:val="6DCE132D"/>
    <w:rsid w:val="6F2968A7"/>
    <w:rsid w:val="72253C9E"/>
    <w:rsid w:val="72A252EE"/>
    <w:rsid w:val="73DB21E0"/>
    <w:rsid w:val="740E2B5F"/>
    <w:rsid w:val="746D004C"/>
    <w:rsid w:val="76372A1F"/>
    <w:rsid w:val="769E5B68"/>
    <w:rsid w:val="772D118B"/>
    <w:rsid w:val="77D858AF"/>
    <w:rsid w:val="77EC54CF"/>
    <w:rsid w:val="78AD0084"/>
    <w:rsid w:val="797F6322"/>
    <w:rsid w:val="7B524FC1"/>
    <w:rsid w:val="7C351452"/>
    <w:rsid w:val="7C900FA3"/>
    <w:rsid w:val="7CE64D8C"/>
    <w:rsid w:val="7E307D69"/>
    <w:rsid w:val="7ED97CBE"/>
    <w:rsid w:val="7F2A01AE"/>
    <w:rsid w:val="7F4565FF"/>
    <w:rsid w:val="7F7C76B5"/>
    <w:rsid w:val="7F7E1871"/>
    <w:rsid w:val="7F8340A5"/>
    <w:rsid w:val="7FFF27B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方正小标宋简体" w:cs="方正小标宋简体"/>
      <w:kern w:val="2"/>
      <w:sz w:val="44"/>
      <w:szCs w:val="44"/>
      <w:lang w:val="en-US" w:eastAsia="zh-CN" w:bidi="ar-SA"/>
    </w:rPr>
  </w:style>
  <w:style w:type="paragraph" w:styleId="2">
    <w:name w:val="heading 3"/>
    <w:basedOn w:val="1"/>
    <w:next w:val="1"/>
    <w:autoRedefine/>
    <w:unhideWhenUsed/>
    <w:qFormat/>
    <w:uiPriority w:val="0"/>
    <w:pPr>
      <w:spacing w:before="100" w:beforeAutospacing="1" w:after="100" w:afterAutospacing="1"/>
      <w:jc w:val="left"/>
      <w:outlineLvl w:val="2"/>
    </w:pPr>
    <w:rPr>
      <w:rFonts w:hint="eastAsia" w:ascii="宋体" w:hAnsi="宋体" w:eastAsia="宋体" w:cs="Times New Roman"/>
      <w:b/>
      <w:bCs/>
      <w:kern w:val="0"/>
      <w:sz w:val="27"/>
      <w:szCs w:val="27"/>
    </w:rPr>
  </w:style>
  <w:style w:type="character" w:default="1" w:styleId="10">
    <w:name w:val="Default Paragraph Font"/>
    <w:autoRedefine/>
    <w:unhideWhenUsed/>
    <w:qFormat/>
    <w:uiPriority w:val="1"/>
  </w:style>
  <w:style w:type="table" w:default="1" w:styleId="9">
    <w:name w:val="Normal Table"/>
    <w:autoRedefine/>
    <w:unhideWhenUsed/>
    <w:qFormat/>
    <w:uiPriority w:val="99"/>
    <w:tblPr>
      <w:tblCellMar>
        <w:top w:w="0" w:type="dxa"/>
        <w:left w:w="108" w:type="dxa"/>
        <w:bottom w:w="0" w:type="dxa"/>
        <w:right w:w="108" w:type="dxa"/>
      </w:tblCellMar>
    </w:tblPr>
  </w:style>
  <w:style w:type="paragraph" w:styleId="3">
    <w:name w:val="annotation text"/>
    <w:basedOn w:val="1"/>
    <w:link w:val="16"/>
    <w:autoRedefine/>
    <w:qFormat/>
    <w:uiPriority w:val="0"/>
    <w:pPr>
      <w:jc w:val="left"/>
    </w:pPr>
  </w:style>
  <w:style w:type="paragraph" w:styleId="4">
    <w:name w:val="Date"/>
    <w:basedOn w:val="1"/>
    <w:next w:val="1"/>
    <w:link w:val="18"/>
    <w:autoRedefine/>
    <w:qFormat/>
    <w:uiPriority w:val="0"/>
    <w:pPr>
      <w:ind w:left="100" w:leftChars="2500"/>
    </w:pPr>
  </w:style>
  <w:style w:type="paragraph" w:styleId="5">
    <w:name w:val="Balloon Text"/>
    <w:basedOn w:val="1"/>
    <w:link w:val="13"/>
    <w:autoRedefine/>
    <w:qFormat/>
    <w:uiPriority w:val="0"/>
    <w:rPr>
      <w:sz w:val="18"/>
      <w:szCs w:val="18"/>
    </w:rPr>
  </w:style>
  <w:style w:type="paragraph" w:styleId="6">
    <w:name w:val="footer"/>
    <w:basedOn w:val="1"/>
    <w:link w:val="15"/>
    <w:autoRedefine/>
    <w:qFormat/>
    <w:uiPriority w:val="99"/>
    <w:pPr>
      <w:tabs>
        <w:tab w:val="center" w:pos="4153"/>
        <w:tab w:val="right" w:pos="8306"/>
      </w:tabs>
      <w:snapToGrid w:val="0"/>
      <w:jc w:val="left"/>
    </w:pPr>
    <w:rPr>
      <w:sz w:val="18"/>
      <w:szCs w:val="18"/>
    </w:rPr>
  </w:style>
  <w:style w:type="paragraph" w:styleId="7">
    <w:name w:val="header"/>
    <w:basedOn w:val="1"/>
    <w:link w:val="14"/>
    <w:autoRedefine/>
    <w:qFormat/>
    <w:uiPriority w:val="0"/>
    <w:pPr>
      <w:pBdr>
        <w:bottom w:val="single" w:color="auto" w:sz="6" w:space="1"/>
      </w:pBdr>
      <w:tabs>
        <w:tab w:val="center" w:pos="4153"/>
        <w:tab w:val="right" w:pos="8306"/>
      </w:tabs>
      <w:snapToGrid w:val="0"/>
      <w:jc w:val="center"/>
    </w:pPr>
    <w:rPr>
      <w:sz w:val="18"/>
      <w:szCs w:val="18"/>
    </w:rPr>
  </w:style>
  <w:style w:type="paragraph" w:styleId="8">
    <w:name w:val="annotation subject"/>
    <w:basedOn w:val="3"/>
    <w:next w:val="3"/>
    <w:link w:val="17"/>
    <w:autoRedefine/>
    <w:qFormat/>
    <w:uiPriority w:val="0"/>
    <w:rPr>
      <w:b/>
      <w:bCs/>
    </w:rPr>
  </w:style>
  <w:style w:type="character" w:styleId="11">
    <w:name w:val="Hyperlink"/>
    <w:basedOn w:val="10"/>
    <w:qFormat/>
    <w:uiPriority w:val="0"/>
    <w:rPr>
      <w:color w:val="0026E5"/>
      <w:u w:val="single"/>
    </w:rPr>
  </w:style>
  <w:style w:type="character" w:styleId="12">
    <w:name w:val="annotation reference"/>
    <w:basedOn w:val="10"/>
    <w:qFormat/>
    <w:uiPriority w:val="0"/>
    <w:rPr>
      <w:sz w:val="21"/>
      <w:szCs w:val="21"/>
    </w:rPr>
  </w:style>
  <w:style w:type="character" w:customStyle="1" w:styleId="13">
    <w:name w:val="批注框文本 Char"/>
    <w:basedOn w:val="10"/>
    <w:link w:val="5"/>
    <w:autoRedefine/>
    <w:qFormat/>
    <w:uiPriority w:val="0"/>
    <w:rPr>
      <w:rFonts w:eastAsia="方正小标宋简体" w:cs="方正小标宋简体"/>
      <w:kern w:val="2"/>
      <w:sz w:val="18"/>
      <w:szCs w:val="18"/>
    </w:rPr>
  </w:style>
  <w:style w:type="character" w:customStyle="1" w:styleId="14">
    <w:name w:val="页眉 Char"/>
    <w:basedOn w:val="10"/>
    <w:link w:val="7"/>
    <w:qFormat/>
    <w:uiPriority w:val="0"/>
    <w:rPr>
      <w:rFonts w:eastAsia="方正小标宋简体" w:cs="方正小标宋简体"/>
      <w:kern w:val="2"/>
      <w:sz w:val="18"/>
      <w:szCs w:val="18"/>
    </w:rPr>
  </w:style>
  <w:style w:type="character" w:customStyle="1" w:styleId="15">
    <w:name w:val="页脚 Char"/>
    <w:basedOn w:val="10"/>
    <w:link w:val="6"/>
    <w:qFormat/>
    <w:uiPriority w:val="99"/>
    <w:rPr>
      <w:rFonts w:eastAsia="方正小标宋简体" w:cs="方正小标宋简体"/>
      <w:kern w:val="2"/>
      <w:sz w:val="18"/>
      <w:szCs w:val="18"/>
    </w:rPr>
  </w:style>
  <w:style w:type="character" w:customStyle="1" w:styleId="16">
    <w:name w:val="批注文字 Char"/>
    <w:basedOn w:val="10"/>
    <w:link w:val="3"/>
    <w:autoRedefine/>
    <w:qFormat/>
    <w:uiPriority w:val="0"/>
    <w:rPr>
      <w:rFonts w:eastAsia="方正小标宋简体" w:cs="方正小标宋简体"/>
      <w:kern w:val="2"/>
      <w:sz w:val="44"/>
      <w:szCs w:val="44"/>
    </w:rPr>
  </w:style>
  <w:style w:type="character" w:customStyle="1" w:styleId="17">
    <w:name w:val="批注主题 Char"/>
    <w:basedOn w:val="16"/>
    <w:link w:val="8"/>
    <w:qFormat/>
    <w:uiPriority w:val="0"/>
  </w:style>
  <w:style w:type="character" w:customStyle="1" w:styleId="18">
    <w:name w:val="日期 Char"/>
    <w:basedOn w:val="10"/>
    <w:link w:val="4"/>
    <w:autoRedefine/>
    <w:qFormat/>
    <w:uiPriority w:val="0"/>
    <w:rPr>
      <w:rFonts w:eastAsia="方正小标宋简体" w:cs="方正小标宋简体"/>
      <w:kern w:val="2"/>
      <w:sz w:val="44"/>
      <w:szCs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Info spid="_x0000_s205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微软公司</Company>
  <Pages>16</Pages>
  <Words>10219</Words>
  <Characters>10421</Characters>
  <Lines>74</Lines>
  <Paragraphs>21</Paragraphs>
  <TotalTime>16</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2024-11-26T07:50:00Z</dcterms:created>
  <dc:creator>Lenovo</dc:creator>
  <cp:lastModifiedBy>Administrator</cp:lastModifiedBy>
  <cp:lastPrinted>2024-08-08T08:46:00Z</cp:lastPrinted>
  <dcterms:modified xsi:type="dcterms:W3CDTF">2025-02-20T03:19:38Z</dcterms:modified>
  <dc:title>中共红旗渠·林虑山风景名胜区管理委员会党组</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A5BCD22757DB455BA8C18C762929F04D_13</vt:lpwstr>
  </property>
</Properties>
</file>