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3"/>
        <w:keepNext w:val="0"/>
        <w:keepLines w:val="0"/>
        <w:pageBreakBefore w:val="0"/>
        <w:widowControl w:val="0"/>
        <w:tabs>
          <w:tab w:val="left" w:pos="720"/>
          <w:tab w:val="left" w:pos="3822"/>
        </w:tabs>
        <w:kinsoku/>
        <w:wordWrap/>
        <w:overflowPunct/>
        <w:topLinePunct w:val="0"/>
        <w:autoSpaceDE/>
        <w:autoSpaceDN/>
        <w:bidi w:val="0"/>
        <w:adjustRightInd w:val="0"/>
        <w:snapToGrid w:val="0"/>
        <w:spacing w:line="58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rPr>
        <w:t>中共安阳市</w:t>
      </w:r>
      <w:r>
        <w:rPr>
          <w:rFonts w:hint="eastAsia" w:ascii="方正小标宋简体" w:hAnsi="方正小标宋简体" w:eastAsia="方正小标宋简体" w:cs="方正小标宋简体"/>
          <w:sz w:val="44"/>
          <w:szCs w:val="44"/>
          <w:lang w:eastAsia="zh-CN"/>
        </w:rPr>
        <w:t>龙安区</w:t>
      </w:r>
      <w:r>
        <w:rPr>
          <w:rFonts w:hint="eastAsia" w:ascii="方正小标宋简体" w:hAnsi="仿宋" w:eastAsia="方正小标宋简体"/>
          <w:sz w:val="44"/>
          <w:szCs w:val="44"/>
        </w:rPr>
        <w:t>市场监督管理局</w:t>
      </w:r>
      <w:r>
        <w:rPr>
          <w:rFonts w:hint="eastAsia" w:ascii="方正小标宋简体" w:hAnsi="方正小标宋简体" w:eastAsia="方正小标宋简体" w:cs="方正小标宋简体"/>
          <w:sz w:val="44"/>
          <w:szCs w:val="44"/>
          <w:lang w:eastAsia="zh-CN"/>
        </w:rPr>
        <w:t>党组</w:t>
      </w:r>
    </w:p>
    <w:p>
      <w:pPr>
        <w:spacing w:line="600" w:lineRule="exact"/>
        <w:jc w:val="center"/>
        <w:rPr>
          <w:rFonts w:hint="eastAsia" w:ascii="方正小标宋简体" w:eastAsia="方正小标宋简体"/>
          <w:sz w:val="44"/>
          <w:szCs w:val="44"/>
        </w:rPr>
      </w:pPr>
      <w:r>
        <w:rPr>
          <w:rFonts w:hint="eastAsia" w:ascii="方正小标宋简体" w:hAnsi="方正小标宋简体" w:eastAsia="方正小标宋简体" w:cs="方正小标宋简体"/>
          <w:sz w:val="44"/>
          <w:szCs w:val="44"/>
        </w:rPr>
        <w:t>关于巡察</w:t>
      </w:r>
      <w:r>
        <w:rPr>
          <w:rFonts w:hint="eastAsia" w:ascii="方正小标宋简体" w:hAnsi="方正小标宋简体" w:eastAsia="方正小标宋简体" w:cs="方正小标宋简体"/>
          <w:sz w:val="44"/>
          <w:szCs w:val="44"/>
          <w:lang w:val="en-US" w:eastAsia="zh-CN"/>
        </w:rPr>
        <w:t>整改情况的通报</w:t>
      </w:r>
    </w:p>
    <w:p>
      <w:pPr>
        <w:spacing w:line="580" w:lineRule="exact"/>
        <w:jc w:val="center"/>
        <w:rPr>
          <w:rFonts w:hint="eastAsia" w:ascii="方正小标宋简体" w:hAnsi="仿宋" w:eastAsia="方正小标宋简体"/>
          <w:sz w:val="44"/>
          <w:szCs w:val="44"/>
        </w:rPr>
      </w:pP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 w:hAnsi="仿宋" w:eastAsia="仿宋"/>
          <w:sz w:val="32"/>
          <w:szCs w:val="32"/>
        </w:rPr>
        <w:t>根据区委统一部署，2023年7月26日至9月22日</w:t>
      </w:r>
      <w:r>
        <w:rPr>
          <w:rFonts w:hint="eastAsia" w:ascii="仿宋_GB2312" w:eastAsia="仿宋_GB2312"/>
          <w:sz w:val="32"/>
          <w:szCs w:val="32"/>
          <w:lang w:eastAsia="zh-CN"/>
        </w:rPr>
        <w:t>，</w:t>
      </w:r>
      <w:r>
        <w:rPr>
          <w:rFonts w:hint="eastAsia" w:ascii="仿宋_GB2312" w:eastAsia="仿宋_GB2312"/>
          <w:sz w:val="32"/>
          <w:szCs w:val="32"/>
        </w:rPr>
        <w:t>区委</w:t>
      </w:r>
      <w:r>
        <w:rPr>
          <w:rFonts w:hint="eastAsia" w:ascii="仿宋" w:hAnsi="仿宋" w:eastAsia="仿宋"/>
          <w:sz w:val="32"/>
          <w:szCs w:val="32"/>
        </w:rPr>
        <w:t>第一巡察组</w:t>
      </w:r>
      <w:r>
        <w:rPr>
          <w:rFonts w:hint="eastAsia" w:ascii="仿宋_GB2312" w:eastAsia="仿宋_GB2312"/>
          <w:sz w:val="32"/>
          <w:szCs w:val="32"/>
        </w:rPr>
        <w:t>对</w:t>
      </w:r>
      <w:r>
        <w:rPr>
          <w:rFonts w:hint="eastAsia" w:ascii="仿宋_GB2312" w:eastAsia="仿宋_GB2312"/>
          <w:sz w:val="32"/>
          <w:szCs w:val="32"/>
          <w:lang w:eastAsia="zh-CN"/>
        </w:rPr>
        <w:t>区</w:t>
      </w:r>
      <w:r>
        <w:rPr>
          <w:rFonts w:hint="eastAsia" w:ascii="仿宋" w:hAnsi="仿宋" w:eastAsia="仿宋"/>
          <w:sz w:val="32"/>
          <w:szCs w:val="32"/>
        </w:rPr>
        <w:t>市场监</w:t>
      </w:r>
      <w:r>
        <w:rPr>
          <w:rFonts w:hint="eastAsia" w:ascii="仿宋" w:hAnsi="仿宋" w:eastAsia="仿宋"/>
          <w:sz w:val="32"/>
          <w:szCs w:val="32"/>
          <w:lang w:eastAsia="zh-CN"/>
        </w:rPr>
        <w:t>管理</w:t>
      </w:r>
      <w:r>
        <w:rPr>
          <w:rFonts w:hint="eastAsia" w:ascii="仿宋" w:hAnsi="仿宋" w:eastAsia="仿宋"/>
          <w:sz w:val="32"/>
          <w:szCs w:val="32"/>
        </w:rPr>
        <w:t>局进行了巡察</w:t>
      </w:r>
      <w:r>
        <w:rPr>
          <w:rFonts w:hint="eastAsia" w:ascii="仿宋" w:hAnsi="仿宋" w:eastAsia="仿宋"/>
          <w:sz w:val="32"/>
          <w:szCs w:val="32"/>
          <w:lang w:eastAsia="zh-CN"/>
        </w:rPr>
        <w:t>，并</w:t>
      </w:r>
      <w:r>
        <w:rPr>
          <w:rFonts w:hint="eastAsia" w:ascii="仿宋_GB2312" w:eastAsia="仿宋_GB2312"/>
          <w:sz w:val="32"/>
          <w:szCs w:val="32"/>
        </w:rPr>
        <w:t>反馈</w:t>
      </w:r>
      <w:r>
        <w:rPr>
          <w:rFonts w:hint="eastAsia" w:ascii="仿宋_GB2312" w:eastAsia="仿宋_GB2312"/>
          <w:sz w:val="32"/>
          <w:szCs w:val="32"/>
          <w:lang w:eastAsia="zh-CN"/>
        </w:rPr>
        <w:t>了巡察</w:t>
      </w:r>
      <w:r>
        <w:rPr>
          <w:rFonts w:hint="eastAsia" w:ascii="仿宋_GB2312" w:eastAsia="仿宋_GB2312"/>
          <w:sz w:val="32"/>
          <w:szCs w:val="32"/>
        </w:rPr>
        <w:t>意见。</w:t>
      </w:r>
      <w:r>
        <w:rPr>
          <w:rFonts w:hint="eastAsia" w:ascii="仿宋_GB2312" w:hAnsi="仿宋_GB2312" w:eastAsia="仿宋_GB2312" w:cs="仿宋_GB2312"/>
          <w:sz w:val="32"/>
          <w:szCs w:val="32"/>
          <w:lang w:val="en-US" w:eastAsia="zh-CN"/>
        </w:rPr>
        <w:t>按照《中国共产党巡视工作条例》有关规定，现将巡察整改情况予以公布。</w:t>
      </w:r>
    </w:p>
    <w:p>
      <w:pPr>
        <w:ind w:firstLine="640" w:firstLineChars="200"/>
        <w:rPr>
          <w:rFonts w:ascii="黑体" w:hAnsi="黑体" w:eastAsia="黑体"/>
          <w:sz w:val="32"/>
          <w:szCs w:val="32"/>
        </w:rPr>
      </w:pPr>
      <w:r>
        <w:rPr>
          <w:rFonts w:hint="eastAsia" w:ascii="黑体" w:hAnsi="黑体" w:eastAsia="黑体"/>
          <w:sz w:val="32"/>
          <w:szCs w:val="32"/>
        </w:rPr>
        <w:t>一、指导思想</w:t>
      </w:r>
    </w:p>
    <w:p>
      <w:pPr>
        <w:ind w:firstLine="640" w:firstLineChars="200"/>
        <w:rPr>
          <w:rFonts w:ascii="仿宋" w:hAnsi="仿宋" w:eastAsia="仿宋"/>
          <w:sz w:val="32"/>
          <w:szCs w:val="32"/>
        </w:rPr>
      </w:pPr>
      <w:r>
        <w:rPr>
          <w:rFonts w:hint="eastAsia" w:ascii="楷体" w:hAnsi="楷体" w:eastAsia="楷体"/>
          <w:sz w:val="32"/>
          <w:szCs w:val="32"/>
        </w:rPr>
        <w:t>一是统一思想认识。</w:t>
      </w:r>
      <w:r>
        <w:rPr>
          <w:rFonts w:hint="eastAsia" w:ascii="仿宋" w:hAnsi="仿宋" w:eastAsia="仿宋"/>
          <w:sz w:val="32"/>
          <w:szCs w:val="32"/>
        </w:rPr>
        <w:t>深刻认识区委巡察的重要作用和重大意义，切实增强政治责任感和政治敏锐性，把巡察整改落实当作一次优化政治生态的机会，一次加强党性锻炼的机会，一次检验工作成效的机会。要求全局党员干部进一步增强“三个自觉”，树立“四个自信”，切实把思想和行动统一到巡察反馈意见的精神和要求上来，把落实问题整改作为一项重要工作，强化领导、全员参与、上下联动，不折不扣地落实好各项整改任务。</w:t>
      </w:r>
    </w:p>
    <w:p>
      <w:pPr>
        <w:ind w:firstLine="640" w:firstLineChars="200"/>
        <w:rPr>
          <w:rFonts w:ascii="仿宋" w:hAnsi="仿宋" w:eastAsia="仿宋"/>
          <w:sz w:val="32"/>
          <w:szCs w:val="32"/>
        </w:rPr>
      </w:pPr>
      <w:r>
        <w:rPr>
          <w:rFonts w:hint="eastAsia" w:ascii="楷体" w:hAnsi="楷体" w:eastAsia="楷体"/>
          <w:sz w:val="32"/>
          <w:szCs w:val="32"/>
        </w:rPr>
        <w:t>二是加强组织领导。</w:t>
      </w:r>
      <w:r>
        <w:rPr>
          <w:rFonts w:hint="eastAsia" w:ascii="仿宋" w:hAnsi="仿宋" w:eastAsia="仿宋"/>
          <w:sz w:val="32"/>
          <w:szCs w:val="32"/>
        </w:rPr>
        <w:t>局党组切实担负巡察整改主体责任，按照“党组负总责、归口落实”的原则，把落实巡察整改工作任务分解到相关责任领导、责任人和责任科室，确保责任到人，形成上下联动、协调有序、责任全覆盖的整改工作体系。</w:t>
      </w:r>
    </w:p>
    <w:p>
      <w:pPr>
        <w:ind w:firstLine="640" w:firstLineChars="200"/>
        <w:rPr>
          <w:rFonts w:ascii="仿宋" w:hAnsi="仿宋" w:eastAsia="仿宋"/>
          <w:sz w:val="32"/>
          <w:szCs w:val="32"/>
        </w:rPr>
      </w:pPr>
      <w:r>
        <w:rPr>
          <w:rFonts w:hint="eastAsia" w:ascii="楷体" w:hAnsi="楷体" w:eastAsia="楷体"/>
          <w:sz w:val="32"/>
          <w:szCs w:val="32"/>
        </w:rPr>
        <w:t>三是明确目标责任。</w:t>
      </w:r>
      <w:r>
        <w:rPr>
          <w:rFonts w:hint="eastAsia" w:ascii="仿宋" w:hAnsi="仿宋" w:eastAsia="仿宋"/>
          <w:sz w:val="32"/>
          <w:szCs w:val="32"/>
        </w:rPr>
        <w:t>局党组对巡察组反馈的问题进行全面梳理、逐项研究，制定了《龙安区市场监督管理局关于落实五届区委第四轮巡察反馈意见整改方案》和《龙安区市场监督管理局巡察问题整改情况台帐》，将巡察反馈问题，逐一明确了责任领导、直接责任人、和整改时限，确保整改问题项项有着落、件件有回音。整改落实工作严格按照时间节点要求推进，截至目前，23个具体问题已全部整改完成。</w:t>
      </w:r>
    </w:p>
    <w:p>
      <w:pPr>
        <w:ind w:firstLine="627" w:firstLineChars="196"/>
        <w:rPr>
          <w:rFonts w:ascii="仿宋" w:hAnsi="仿宋" w:eastAsia="仿宋"/>
          <w:sz w:val="32"/>
          <w:szCs w:val="32"/>
        </w:rPr>
      </w:pPr>
      <w:r>
        <w:rPr>
          <w:rFonts w:hint="eastAsia" w:ascii="楷体" w:hAnsi="楷体" w:eastAsia="楷体"/>
          <w:sz w:val="32"/>
          <w:szCs w:val="32"/>
        </w:rPr>
        <w:t>四是强化成果运用。</w:t>
      </w:r>
      <w:r>
        <w:rPr>
          <w:rFonts w:hint="eastAsia" w:ascii="仿宋" w:hAnsi="仿宋" w:eastAsia="仿宋"/>
          <w:sz w:val="32"/>
          <w:szCs w:val="32"/>
        </w:rPr>
        <w:t>在抓好整改、解决问题的同时，及时总结整改经验，巩固好整改成果，不断建立完善长效工作机制，真正使整改成果成为促进干部作风转变、保障市场监管的强大动力。</w:t>
      </w:r>
    </w:p>
    <w:p>
      <w:pPr>
        <w:ind w:firstLine="640" w:firstLineChars="200"/>
        <w:rPr>
          <w:rFonts w:ascii="黑体" w:hAnsi="黑体" w:eastAsia="黑体"/>
          <w:sz w:val="32"/>
          <w:szCs w:val="32"/>
        </w:rPr>
      </w:pPr>
      <w:r>
        <w:rPr>
          <w:rFonts w:hint="eastAsia" w:ascii="黑体" w:hAnsi="黑体" w:eastAsia="黑体"/>
          <w:sz w:val="32"/>
          <w:szCs w:val="32"/>
          <w:lang w:eastAsia="zh-CN"/>
        </w:rPr>
        <w:t>二</w:t>
      </w:r>
      <w:r>
        <w:rPr>
          <w:rFonts w:hint="eastAsia" w:ascii="黑体" w:hAnsi="黑体" w:eastAsia="黑体"/>
          <w:sz w:val="32"/>
          <w:szCs w:val="32"/>
        </w:rPr>
        <w:t>、整改情况</w:t>
      </w:r>
    </w:p>
    <w:p>
      <w:pPr>
        <w:ind w:firstLine="627" w:firstLineChars="196"/>
        <w:rPr>
          <w:rFonts w:ascii="楷体" w:hAnsi="楷体" w:eastAsia="楷体"/>
          <w:sz w:val="32"/>
          <w:szCs w:val="32"/>
        </w:rPr>
      </w:pPr>
      <w:r>
        <w:rPr>
          <w:rFonts w:hint="eastAsia" w:ascii="楷体" w:hAnsi="楷体" w:eastAsia="楷体"/>
          <w:sz w:val="32"/>
          <w:szCs w:val="32"/>
        </w:rPr>
        <w:t>（一）学习贯彻习近平总书记关于“放管服”改革，优化营商环境重要论述不够，专题学习探讨较少。</w:t>
      </w:r>
    </w:p>
    <w:p>
      <w:pPr>
        <w:ind w:firstLine="627" w:firstLineChars="196"/>
        <w:rPr>
          <w:rFonts w:ascii="仿宋" w:hAnsi="仿宋" w:eastAsia="仿宋"/>
          <w:sz w:val="32"/>
          <w:szCs w:val="32"/>
        </w:rPr>
      </w:pPr>
      <w:r>
        <w:rPr>
          <w:rFonts w:hint="eastAsia" w:ascii="仿宋" w:hAnsi="仿宋" w:eastAsia="仿宋"/>
          <w:sz w:val="32"/>
          <w:szCs w:val="32"/>
        </w:rPr>
        <w:t>整改情况：加强理论学习：持续组织专题学习，深入学习习近平总书记关于“放管服”改革和优化营商环境的重要论述。通过理论学习，加深对“放管服”改革和优化营商环境的理解和认识，提高重视程度。</w:t>
      </w:r>
    </w:p>
    <w:p>
      <w:pPr>
        <w:ind w:firstLine="640" w:firstLineChars="200"/>
        <w:rPr>
          <w:rFonts w:ascii="楷体" w:hAnsi="楷体" w:eastAsia="楷体"/>
          <w:sz w:val="32"/>
          <w:szCs w:val="32"/>
        </w:rPr>
      </w:pPr>
      <w:r>
        <w:rPr>
          <w:rFonts w:hint="eastAsia" w:ascii="楷体" w:hAnsi="楷体" w:eastAsia="楷体"/>
          <w:sz w:val="32"/>
          <w:szCs w:val="32"/>
        </w:rPr>
        <w:t>（二）党组会议记录显示研究部署优化营商环境等工作内容不深入、不具体。</w:t>
      </w:r>
    </w:p>
    <w:p>
      <w:pPr>
        <w:ind w:firstLine="627" w:firstLineChars="196"/>
        <w:rPr>
          <w:rFonts w:ascii="仿宋" w:hAnsi="仿宋" w:eastAsia="仿宋"/>
          <w:sz w:val="32"/>
          <w:szCs w:val="32"/>
        </w:rPr>
      </w:pPr>
      <w:r>
        <w:rPr>
          <w:rFonts w:hint="eastAsia" w:ascii="仿宋" w:hAnsi="仿宋" w:eastAsia="仿宋"/>
          <w:sz w:val="32"/>
          <w:szCs w:val="32"/>
        </w:rPr>
        <w:t>整改情况：一是加强了对优化营商环境相关政策的学习和理解，确保每个成员都能准确把握政策精神和要求。二是深入调研，全面了解当前营商环境存在的问题和不足，为制定针对性的措施提供依据。三是细化工作方案，明确各项任务的具体目标、责任人和完成时限，确保工作能够落地见效。四是加强对会议记录的管理和审核。要求会议记录必须真实、准确、完整地反映会议内容和决策情况，避免出现内容不深入不具体的问题。</w:t>
      </w:r>
    </w:p>
    <w:p>
      <w:pPr>
        <w:ind w:firstLine="480" w:firstLineChars="150"/>
        <w:rPr>
          <w:rFonts w:ascii="仿宋" w:hAnsi="仿宋" w:eastAsia="仿宋"/>
          <w:sz w:val="32"/>
          <w:szCs w:val="32"/>
        </w:rPr>
      </w:pPr>
      <w:r>
        <w:rPr>
          <w:rFonts w:hint="eastAsia" w:ascii="楷体" w:hAnsi="楷体" w:eastAsia="楷体"/>
          <w:sz w:val="32"/>
          <w:szCs w:val="32"/>
        </w:rPr>
        <w:t>（三）党建活动形式单一，活动载体少，与主业结合不紧。</w:t>
      </w:r>
    </w:p>
    <w:p>
      <w:pPr>
        <w:ind w:firstLine="627" w:firstLineChars="196"/>
        <w:rPr>
          <w:rFonts w:ascii="仿宋" w:hAnsi="仿宋" w:eastAsia="仿宋"/>
          <w:sz w:val="32"/>
          <w:szCs w:val="32"/>
        </w:rPr>
      </w:pPr>
      <w:r>
        <w:rPr>
          <w:rFonts w:hint="eastAsia" w:ascii="仿宋" w:hAnsi="仿宋" w:eastAsia="仿宋"/>
          <w:sz w:val="32"/>
          <w:szCs w:val="32"/>
        </w:rPr>
        <w:t>整改情况：一是针对党建活动形式单一和活动载体少的问题，通过组织召开“主题党日”“三会一课”等活动，不断丰富活动内容，提高党员的参与度和积极性。同时，加强活动与主责主业的结合，确保党建活动与业务工作深度融合，实现党建与业务双提升。二是关于民主生活会和组织生活会缺乏针对性的问题，注重会前调研和准备，确保会议议题贴近实际、贴近党员思想。在会议过程中，鼓励广大党员积极参与讨论，提出建设性意见和建议。三是在谈心谈话、批评与自我批评方面，明确谈话内容、方式和时间等，确保谈话活动的针对性和有效性。四是针对警示教育开展不到位的问题，组织党员干部通过案例分析、观看警示教育片等形式，增强党员的廉洁自律意识和风险防范能力。同时，加强对警示教育效果的评估和反馈，确保警示教育活动的针对性和实效性。</w:t>
      </w:r>
    </w:p>
    <w:p>
      <w:pPr>
        <w:ind w:firstLine="627" w:firstLineChars="196"/>
        <w:rPr>
          <w:rFonts w:ascii="楷体" w:hAnsi="楷体" w:eastAsia="楷体"/>
          <w:sz w:val="32"/>
          <w:szCs w:val="32"/>
        </w:rPr>
      </w:pPr>
      <w:r>
        <w:rPr>
          <w:rFonts w:hint="eastAsia" w:ascii="楷体" w:hAnsi="楷体" w:eastAsia="楷体"/>
          <w:sz w:val="32"/>
          <w:szCs w:val="32"/>
        </w:rPr>
        <w:t>（四）党组会议记录专题研究意识形态工作内容相关内容较简单，无具体举措、安排。</w:t>
      </w:r>
    </w:p>
    <w:p>
      <w:pPr>
        <w:ind w:firstLine="627" w:firstLineChars="196"/>
        <w:rPr>
          <w:rFonts w:ascii="仿宋" w:hAnsi="仿宋" w:eastAsia="仿宋"/>
          <w:sz w:val="32"/>
          <w:szCs w:val="32"/>
        </w:rPr>
      </w:pPr>
      <w:r>
        <w:rPr>
          <w:rFonts w:hint="eastAsia" w:ascii="仿宋" w:hAnsi="仿宋" w:eastAsia="仿宋"/>
          <w:sz w:val="32"/>
          <w:szCs w:val="32"/>
        </w:rPr>
        <w:t>整改情况：一是加强学习，深化对意识形态工作的理解。组织党组成员深入学习习近平总书记关于意识形态工作的重要论述，以及中央和上级党组织关于意识形态工作的决策部署，确保每个成员都能准确把握意识形态工作的方向和要求。二是完善会议制度，确保研究意识形态工作的深入性和具体性。我们修订了党组会议制度，明确了会议在研究意识形态工作方面的职责和要求。在召开党组会议时，我们要求成员们就意识形态工作的具体问题进行深入讨论，提出切实可行的举措和安排。</w:t>
      </w:r>
    </w:p>
    <w:p>
      <w:pPr>
        <w:ind w:firstLine="640" w:firstLineChars="200"/>
        <w:rPr>
          <w:rFonts w:ascii="楷体" w:hAnsi="楷体" w:eastAsia="楷体"/>
          <w:sz w:val="32"/>
          <w:szCs w:val="32"/>
        </w:rPr>
      </w:pPr>
      <w:r>
        <w:rPr>
          <w:rFonts w:hint="eastAsia" w:ascii="楷体" w:hAnsi="楷体" w:eastAsia="楷体"/>
          <w:sz w:val="32"/>
          <w:szCs w:val="32"/>
        </w:rPr>
        <w:t>（五）部分班子成员未按要求将落实意识形态工作责任制单独成段列入民主生活会、年度述职和党建述职。</w:t>
      </w:r>
    </w:p>
    <w:p>
      <w:pPr>
        <w:ind w:firstLine="627" w:firstLineChars="196"/>
        <w:rPr>
          <w:rFonts w:ascii="仿宋" w:hAnsi="仿宋" w:eastAsia="仿宋"/>
          <w:sz w:val="32"/>
          <w:szCs w:val="32"/>
        </w:rPr>
      </w:pPr>
      <w:r>
        <w:rPr>
          <w:rFonts w:hint="eastAsia" w:ascii="仿宋" w:hAnsi="仿宋" w:eastAsia="仿宋"/>
          <w:sz w:val="32"/>
          <w:szCs w:val="32"/>
        </w:rPr>
        <w:t>整改情况：明确要求，规范述职报告内容。我们明确要求班子成员在撰写民主生活会年度述职和党建述职报告时，必须将落实意识形态工作责任制单独成段进行阐述，详细介绍在意识形态工作方面的具体做法、成效以及存在的问题和不足。同时，我们还制定了述职报告模板，规范了报告的内容和格式，确保意识形态工作责任制得到充分体现。</w:t>
      </w:r>
    </w:p>
    <w:p>
      <w:pPr>
        <w:ind w:firstLine="480" w:firstLineChars="150"/>
        <w:rPr>
          <w:rFonts w:ascii="楷体" w:hAnsi="楷体" w:eastAsia="楷体"/>
          <w:sz w:val="32"/>
          <w:szCs w:val="32"/>
        </w:rPr>
      </w:pPr>
      <w:r>
        <w:rPr>
          <w:rFonts w:hint="eastAsia" w:ascii="楷体" w:hAnsi="楷体" w:eastAsia="楷体"/>
          <w:sz w:val="32"/>
          <w:szCs w:val="32"/>
        </w:rPr>
        <w:t>（六）未按要求对《中国共产党宣传工作条例》《党委(党组)意识形态工作责任制实施办法》和中央、省委、市委、区委关于意识形态领域情况的通报等方面内容进行学习贯彻，部分党员干部对意识形态工作“四种责任”理解不到位。</w:t>
      </w:r>
    </w:p>
    <w:p>
      <w:pPr>
        <w:ind w:firstLine="627" w:firstLineChars="196"/>
        <w:rPr>
          <w:rFonts w:ascii="仿宋" w:hAnsi="仿宋" w:eastAsia="仿宋"/>
          <w:sz w:val="32"/>
          <w:szCs w:val="32"/>
        </w:rPr>
      </w:pPr>
      <w:r>
        <w:rPr>
          <w:rFonts w:hint="eastAsia" w:ascii="仿宋" w:hAnsi="仿宋" w:eastAsia="仿宋"/>
          <w:sz w:val="32"/>
          <w:szCs w:val="32"/>
        </w:rPr>
        <w:t>整改情况：一是加强学习贯彻，深化理解认识。针对学习贯彻不到位的问题，我们组织全体党员干部进行了专题学习。通过集体学习、分组讨论、个人自学等多种形式，深入学习了中国共产党宣传工作条例、意识形态工作责任制实施办法以及中央、省委、市委、区委关于意识形态领域情况的通报等相关文件。通过学习，党员干部对意识形态工作的重要性有了更加深刻的认识，对四种责任（即领导责任、主体责任、监督责任和直接责任）的内涵和要求有了更加清晰的理解；二是明确责任分工，强化责任落实。我们根据意识形态工作责任制的要求，对责任进行了明确分工，确保每个部门、每个岗位都能够明确自己的职责和任务。同时，我们建立了责任追究机制，对未能履行职责的党员干部进行问责，确保意识形态工作责任制的落实；三是加强监督检查，确保整改到位。为了确保整改情况落实到位，我们加强了监督检查力度。通过定期检查、随机抽查等方式，对党员干部的学习贯彻情况进行检查，对发现的问题及时进行整改。同时，我们还建立了反馈机制，鼓励党员干部积极反映问题和建议，以便我们及时调整和完善整改情况。</w:t>
      </w:r>
    </w:p>
    <w:p>
      <w:pPr>
        <w:ind w:firstLine="640" w:firstLineChars="200"/>
        <w:rPr>
          <w:rFonts w:ascii="楷体" w:hAnsi="楷体" w:eastAsia="楷体"/>
          <w:sz w:val="32"/>
          <w:szCs w:val="32"/>
        </w:rPr>
      </w:pPr>
      <w:r>
        <w:rPr>
          <w:rFonts w:hint="eastAsia" w:ascii="楷体" w:hAnsi="楷体" w:eastAsia="楷体"/>
          <w:sz w:val="32"/>
          <w:szCs w:val="32"/>
        </w:rPr>
        <w:t>（七）未见每季度意识形态领域风险分析研判报告,未结合单位实际制定《意识形态领域突发事件应急预案》，无季度意识形态工作分析研判会议记录，学习强国”平台运用不充分，供稿量有待提升。</w:t>
      </w:r>
    </w:p>
    <w:p>
      <w:pPr>
        <w:ind w:firstLine="627" w:firstLineChars="196"/>
        <w:rPr>
          <w:rFonts w:ascii="仿宋" w:hAnsi="仿宋" w:eastAsia="仿宋"/>
          <w:sz w:val="32"/>
          <w:szCs w:val="32"/>
        </w:rPr>
      </w:pPr>
      <w:r>
        <w:rPr>
          <w:rFonts w:hint="eastAsia" w:ascii="仿宋" w:hAnsi="仿宋" w:eastAsia="仿宋"/>
          <w:sz w:val="32"/>
          <w:szCs w:val="32"/>
        </w:rPr>
        <w:t>整改情况：一是意识形态领域风险分析研判与应急预案制定。针对每季度意识形态领域风险分析研判报告缺失的问题，我们立即组织相关部门开展整改工作。现已制定详细的风险分析研判流程，每季度定期开展风险排查和分析，并形成书面报告，确保对意识形态领域的风险有清晰的认识和把握。同时，我们结合单位实际情况，制定了意识形态领域突发事件应急预案。预案明确了应急响应机制、处置流程和责任分工，确保在突发事件发生时能够迅速、有效地应对，维护单位的意识形态安全。二是季度意识形态工作分析研判会议记录。针对无季度意识形态工作分析研判会议记录的问题，我们已建立定期召开意识形态工作分析研判会议的制度。会议记录详细记录了会议讨论的内容、分析结果和决策措施，确保意识形态工作得到充分的讨论和研究。三是学习强国平台运用与供稿量提升。在学习强国平台运用方面，我们加强了平台的推广和使用，组织党员干部积极参与平台学习，并将学习情况纳入考核体系，提高党员干部的学习积极性和参与度。同时，为了提升供稿量，我们设立了专门的写作小组，负责撰写和整理相关稿件，并积极向学习强国平台投稿。我们还加强了对稿件质量的把关，确保所投稿件符合平台要求，提高稿件的录用率。</w:t>
      </w:r>
    </w:p>
    <w:p>
      <w:pPr>
        <w:ind w:firstLine="640" w:firstLineChars="200"/>
        <w:rPr>
          <w:rFonts w:ascii="楷体" w:hAnsi="楷体" w:eastAsia="楷体"/>
          <w:sz w:val="32"/>
          <w:szCs w:val="32"/>
        </w:rPr>
      </w:pPr>
      <w:r>
        <w:rPr>
          <w:rFonts w:hint="eastAsia" w:ascii="楷体" w:hAnsi="楷体" w:eastAsia="楷体"/>
          <w:sz w:val="32"/>
          <w:szCs w:val="32"/>
        </w:rPr>
        <w:t>（八）局领导班子深入基层调研不够，未能研究制定提高我区营商环境服务质量和便民服务水平的工作举措。</w:t>
      </w:r>
    </w:p>
    <w:p>
      <w:pPr>
        <w:ind w:firstLine="627" w:firstLineChars="196"/>
        <w:rPr>
          <w:rFonts w:ascii="仿宋" w:hAnsi="仿宋" w:eastAsia="仿宋"/>
          <w:sz w:val="32"/>
          <w:szCs w:val="32"/>
        </w:rPr>
      </w:pPr>
      <w:r>
        <w:rPr>
          <w:rFonts w:hint="eastAsia" w:ascii="仿宋" w:hAnsi="仿宋" w:eastAsia="仿宋"/>
          <w:sz w:val="32"/>
          <w:szCs w:val="32"/>
        </w:rPr>
        <w:t>整改情况：一是加强组织领导，明确调研任务和目标，确保调研工作有序开展；二是增加调研频次和深度，通过实地考察、座谈交流等方式，广泛听取基层意见和建议。</w:t>
      </w:r>
    </w:p>
    <w:p>
      <w:pPr>
        <w:ind w:firstLine="627" w:firstLineChars="196"/>
        <w:rPr>
          <w:rFonts w:ascii="仿宋" w:hAnsi="仿宋" w:eastAsia="仿宋"/>
          <w:sz w:val="32"/>
          <w:szCs w:val="32"/>
        </w:rPr>
      </w:pPr>
      <w:r>
        <w:rPr>
          <w:rFonts w:hint="eastAsia" w:ascii="仿宋" w:hAnsi="仿宋" w:eastAsia="仿宋"/>
          <w:sz w:val="32"/>
          <w:szCs w:val="32"/>
        </w:rPr>
        <w:t>为此，我们制定了以下工作举措：一是简化政务服务流程，推行“一网通办”、“最多跑一次”等改革，提高办事效率；二是加强政务服务队伍建设，提升工作人员的业务素质和服务意识；三是建立健全监督机制，对政务服务质量和便民服务水平进行定期评估和反馈，确保工作落到实处。</w:t>
      </w:r>
    </w:p>
    <w:p>
      <w:pPr>
        <w:ind w:firstLine="640" w:firstLineChars="200"/>
        <w:rPr>
          <w:rFonts w:ascii="楷体" w:hAnsi="楷体" w:eastAsia="楷体"/>
          <w:sz w:val="32"/>
          <w:szCs w:val="32"/>
        </w:rPr>
      </w:pPr>
      <w:r>
        <w:rPr>
          <w:rFonts w:hint="eastAsia" w:ascii="楷体" w:hAnsi="楷体" w:eastAsia="楷体"/>
          <w:sz w:val="32"/>
          <w:szCs w:val="32"/>
        </w:rPr>
        <w:t>（九）没能真正有效发挥牵头的工作联席会议的协调推进作用；原工商、质检、食药监三项业务整合不到位。</w:t>
      </w:r>
    </w:p>
    <w:p>
      <w:pPr>
        <w:ind w:firstLine="627" w:firstLineChars="196"/>
        <w:rPr>
          <w:rFonts w:ascii="仿宋" w:hAnsi="仿宋" w:eastAsia="仿宋"/>
          <w:sz w:val="32"/>
          <w:szCs w:val="32"/>
        </w:rPr>
      </w:pPr>
      <w:r>
        <w:rPr>
          <w:rFonts w:hint="eastAsia" w:ascii="仿宋" w:hAnsi="仿宋" w:eastAsia="仿宋"/>
          <w:sz w:val="32"/>
          <w:szCs w:val="32"/>
        </w:rPr>
        <w:t>整改情况：加强部门间的沟通和协作，鼓励各部门积极参与联席会议，共同研究解决问题，形成工作合力。</w:t>
      </w:r>
    </w:p>
    <w:p>
      <w:pPr>
        <w:ind w:firstLine="627" w:firstLineChars="196"/>
        <w:rPr>
          <w:rFonts w:ascii="仿宋" w:hAnsi="仿宋" w:eastAsia="仿宋"/>
          <w:sz w:val="32"/>
          <w:szCs w:val="32"/>
        </w:rPr>
      </w:pPr>
      <w:r>
        <w:rPr>
          <w:rFonts w:hint="eastAsia" w:ascii="仿宋" w:hAnsi="仿宋" w:eastAsia="仿宋"/>
          <w:sz w:val="32"/>
          <w:szCs w:val="32"/>
        </w:rPr>
        <w:t>在业务整合方面，我们认识到原工商、质检、食药监三项业务的整合是一项复杂而艰巨的任务，需要各部门的共同努力和配合。然而，由于历史原因和部门利益等因素的影响，业务整合并未达到预期的效果。</w:t>
      </w:r>
    </w:p>
    <w:p>
      <w:pPr>
        <w:ind w:firstLine="640" w:firstLineChars="200"/>
        <w:rPr>
          <w:rFonts w:ascii="楷体" w:hAnsi="楷体" w:eastAsia="楷体"/>
          <w:sz w:val="32"/>
          <w:szCs w:val="32"/>
        </w:rPr>
      </w:pPr>
      <w:r>
        <w:rPr>
          <w:rFonts w:hint="eastAsia" w:ascii="楷体" w:hAnsi="楷体" w:eastAsia="楷体"/>
          <w:sz w:val="32"/>
          <w:szCs w:val="32"/>
        </w:rPr>
        <w:t>（十）执法力量下沉后各乡镇市场监管所没有承担起区市场监管局原二级机构监管所的相应监管工作，推诿扯皮，导致正常的市场监管工作未能开展。</w:t>
      </w:r>
    </w:p>
    <w:p>
      <w:pPr>
        <w:ind w:firstLine="627" w:firstLineChars="196"/>
        <w:rPr>
          <w:rFonts w:ascii="仿宋" w:hAnsi="仿宋" w:eastAsia="仿宋"/>
          <w:sz w:val="32"/>
          <w:szCs w:val="32"/>
        </w:rPr>
      </w:pPr>
      <w:r>
        <w:rPr>
          <w:rFonts w:hint="eastAsia" w:ascii="仿宋" w:hAnsi="仿宋" w:eastAsia="仿宋"/>
          <w:sz w:val="32"/>
          <w:szCs w:val="32"/>
        </w:rPr>
        <w:t>整改情况：目前执法人员、编制及工作已下沉乡镇，我局将进一步开展工作指导、帮助乡镇开展正常的市场监管工作，确保市场监管工作正常开展。</w:t>
      </w:r>
    </w:p>
    <w:p>
      <w:pPr>
        <w:ind w:firstLine="640" w:firstLineChars="200"/>
        <w:rPr>
          <w:rFonts w:ascii="楷体" w:hAnsi="楷体" w:eastAsia="楷体"/>
          <w:sz w:val="32"/>
          <w:szCs w:val="32"/>
        </w:rPr>
      </w:pPr>
      <w:r>
        <w:rPr>
          <w:rFonts w:hint="eastAsia" w:ascii="楷体" w:hAnsi="楷体" w:eastAsia="楷体"/>
          <w:sz w:val="32"/>
          <w:szCs w:val="32"/>
        </w:rPr>
        <w:t>（十一）未按照区机关事务管理中心龙事管(2021)24号文《安阳市龙安区车辆临时租赁暂行管理办法》进行租车报批。</w:t>
      </w:r>
    </w:p>
    <w:p>
      <w:pPr>
        <w:ind w:firstLine="627" w:firstLineChars="196"/>
        <w:rPr>
          <w:rFonts w:ascii="仿宋" w:hAnsi="仿宋" w:eastAsia="仿宋"/>
          <w:sz w:val="32"/>
          <w:szCs w:val="32"/>
        </w:rPr>
      </w:pPr>
      <w:r>
        <w:rPr>
          <w:rFonts w:hint="eastAsia" w:ascii="仿宋" w:hAnsi="仿宋" w:eastAsia="仿宋"/>
          <w:sz w:val="32"/>
          <w:szCs w:val="32"/>
        </w:rPr>
        <w:t>整改情况：根据龙安区机关事务中心《安阳市龙安区车辆临时租赁暂行管理办法》（龙事管﹝2021﹞24号）文件要求，已制定完善龙安区市场监管局车辆临时租赁规定，并严格按照规定要求，向机关事务中心提供租车审批材料。</w:t>
      </w:r>
    </w:p>
    <w:p>
      <w:pPr>
        <w:ind w:firstLine="640" w:firstLineChars="200"/>
        <w:rPr>
          <w:rFonts w:ascii="楷体" w:hAnsi="楷体" w:eastAsia="楷体"/>
          <w:sz w:val="32"/>
          <w:szCs w:val="32"/>
        </w:rPr>
      </w:pPr>
      <w:r>
        <w:rPr>
          <w:rFonts w:hint="eastAsia" w:ascii="楷体" w:hAnsi="楷体" w:eastAsia="楷体"/>
          <w:sz w:val="32"/>
          <w:szCs w:val="32"/>
        </w:rPr>
        <w:t>（十二）财务管理不规范，存在违反报销程序、报账手续不完整、超预算安排支出问题。</w:t>
      </w:r>
    </w:p>
    <w:p>
      <w:pPr>
        <w:ind w:firstLine="627" w:firstLineChars="196"/>
        <w:rPr>
          <w:rFonts w:ascii="仿宋" w:hAnsi="仿宋" w:eastAsia="仿宋"/>
          <w:sz w:val="32"/>
          <w:szCs w:val="32"/>
        </w:rPr>
      </w:pPr>
      <w:r>
        <w:rPr>
          <w:rFonts w:hint="eastAsia" w:ascii="仿宋" w:hAnsi="仿宋" w:eastAsia="仿宋"/>
          <w:sz w:val="32"/>
          <w:szCs w:val="32"/>
        </w:rPr>
        <w:t>整改情况：加强财务人员业务培训，提升财务人员专业素养。规范会计账目和凭证封面的填写，明确账册装订标准，逐项梳理相关附件，对书写不规范、字迹潦草难辨、关键信息涂改痕迹严重的单据，在报销环节予以退回。切实提升预算管理水平，持续优化年度预算编制，夯实预算管理工作在整个财务管理过程中的关键地位，增强预算管理的合理性，落实好预算管理、预算执行等工作。</w:t>
      </w:r>
    </w:p>
    <w:p>
      <w:pPr>
        <w:ind w:firstLine="640" w:firstLineChars="200"/>
        <w:rPr>
          <w:rFonts w:ascii="楷体" w:hAnsi="楷体" w:eastAsia="楷体"/>
          <w:sz w:val="32"/>
          <w:szCs w:val="32"/>
        </w:rPr>
      </w:pPr>
      <w:r>
        <w:rPr>
          <w:rFonts w:hint="eastAsia" w:ascii="楷体" w:hAnsi="楷体" w:eastAsia="楷体"/>
          <w:sz w:val="32"/>
          <w:szCs w:val="32"/>
        </w:rPr>
        <w:t>（十三）市场监管局于2021年3月4日购置位于安阳市文明大道与钢花路交叉口西南角龙安商务中心办公用房，于2021年6月17日一次性支付房款199.5万元，按约定应于2021年10月30日前交房，但迄今龙沄置业公司未交房。市场监管局未按照合同约定主张收取利息和违约金的权益，造成资金损失。</w:t>
      </w:r>
    </w:p>
    <w:p>
      <w:pPr>
        <w:ind w:firstLine="627" w:firstLineChars="196"/>
        <w:rPr>
          <w:rFonts w:ascii="仿宋" w:hAnsi="仿宋" w:eastAsia="仿宋"/>
          <w:sz w:val="32"/>
          <w:szCs w:val="32"/>
        </w:rPr>
      </w:pPr>
      <w:r>
        <w:rPr>
          <w:rFonts w:hint="eastAsia" w:ascii="仿宋" w:hAnsi="仿宋" w:eastAsia="仿宋"/>
          <w:sz w:val="32"/>
          <w:szCs w:val="32"/>
        </w:rPr>
        <w:t>整改情况：我局已经依据合同向龙沄置业有限责任公司主张收取利息和违约金的权益，并就赔偿事宜协商到位，以后将不断加强各项合同管理，防止资金损失。</w:t>
      </w:r>
    </w:p>
    <w:p>
      <w:pPr>
        <w:ind w:firstLine="640" w:firstLineChars="200"/>
        <w:rPr>
          <w:rFonts w:ascii="楷体" w:hAnsi="楷体" w:eastAsia="楷体"/>
          <w:sz w:val="32"/>
          <w:szCs w:val="32"/>
        </w:rPr>
      </w:pPr>
      <w:r>
        <w:rPr>
          <w:rFonts w:hint="eastAsia" w:ascii="楷体" w:hAnsi="楷体" w:eastAsia="楷体"/>
          <w:sz w:val="32"/>
          <w:szCs w:val="32"/>
        </w:rPr>
        <w:t>（十四）药品安全监管有漏洞，日常检查不完善。</w:t>
      </w:r>
    </w:p>
    <w:p>
      <w:pPr>
        <w:ind w:firstLine="627" w:firstLineChars="196"/>
        <w:rPr>
          <w:rFonts w:ascii="仿宋" w:hAnsi="仿宋" w:eastAsia="仿宋"/>
          <w:sz w:val="32"/>
          <w:szCs w:val="32"/>
        </w:rPr>
      </w:pPr>
      <w:r>
        <w:rPr>
          <w:rFonts w:hint="eastAsia" w:ascii="仿宋" w:hAnsi="仿宋" w:eastAsia="仿宋"/>
          <w:sz w:val="32"/>
          <w:szCs w:val="32"/>
        </w:rPr>
        <w:t>整改情况：</w:t>
      </w:r>
      <w:r>
        <w:rPr>
          <w:rFonts w:hint="eastAsia" w:ascii="仿宋" w:hAnsi="仿宋" w:eastAsia="仿宋"/>
          <w:bCs/>
          <w:sz w:val="32"/>
          <w:szCs w:val="32"/>
        </w:rPr>
        <w:t>一是</w:t>
      </w:r>
      <w:r>
        <w:rPr>
          <w:rFonts w:hint="eastAsia" w:ascii="仿宋" w:hAnsi="仿宋" w:eastAsia="仿宋"/>
          <w:sz w:val="32"/>
          <w:szCs w:val="32"/>
        </w:rPr>
        <w:t>要求各市场监管所对照2023年度监管计划的要求，全面排查是否完成监管频次，完善监管档案，同时并上报年度监管台账；</w:t>
      </w:r>
      <w:r>
        <w:rPr>
          <w:rFonts w:hint="eastAsia" w:ascii="仿宋" w:hAnsi="仿宋" w:eastAsia="仿宋"/>
          <w:bCs/>
          <w:sz w:val="32"/>
          <w:szCs w:val="32"/>
        </w:rPr>
        <w:t>二是</w:t>
      </w:r>
      <w:r>
        <w:rPr>
          <w:rFonts w:hint="eastAsia" w:ascii="仿宋" w:hAnsi="仿宋" w:eastAsia="仿宋"/>
          <w:sz w:val="32"/>
          <w:szCs w:val="32"/>
        </w:rPr>
        <w:t>药化械监管股加强对各市场监管所的指导和督导，要求各市场监管所每季度上报一次监管台账，定期对各监管所药品监管工作进行总结，发现问题督促及时整改，持续提高监管效果和质量。</w:t>
      </w:r>
    </w:p>
    <w:p>
      <w:pPr>
        <w:ind w:firstLine="480" w:firstLineChars="150"/>
        <w:rPr>
          <w:rFonts w:ascii="楷体" w:hAnsi="楷体" w:eastAsia="楷体"/>
          <w:sz w:val="32"/>
          <w:szCs w:val="32"/>
        </w:rPr>
      </w:pPr>
      <w:r>
        <w:rPr>
          <w:rFonts w:hint="eastAsia" w:ascii="楷体" w:hAnsi="楷体" w:eastAsia="楷体"/>
          <w:sz w:val="32"/>
          <w:szCs w:val="32"/>
        </w:rPr>
        <w:t>（十五）食品安全监管存在隐患，日常监管工作不力。</w:t>
      </w:r>
    </w:p>
    <w:p>
      <w:pPr>
        <w:ind w:firstLine="627" w:firstLineChars="196"/>
        <w:rPr>
          <w:rFonts w:ascii="仿宋" w:hAnsi="仿宋" w:eastAsia="仿宋"/>
          <w:sz w:val="32"/>
          <w:szCs w:val="32"/>
        </w:rPr>
      </w:pPr>
      <w:r>
        <w:rPr>
          <w:rFonts w:hint="eastAsia" w:ascii="仿宋" w:hAnsi="仿宋" w:eastAsia="仿宋"/>
          <w:sz w:val="32"/>
          <w:szCs w:val="32"/>
        </w:rPr>
        <w:t>整改情况：一是加强“两个责任”包保干部培训，提升包保干部食品安全监管水平，并预计清明节后召开全区食品安全两个责任推进会，会议将由主管副区长召开。二是区局综合股加大对包保督导信息的抽查比例，杜绝包保督导走形式、摆过场，切实提升食品安全监管效果。</w:t>
      </w:r>
    </w:p>
    <w:p>
      <w:pPr>
        <w:ind w:firstLine="640" w:firstLineChars="200"/>
        <w:rPr>
          <w:rFonts w:ascii="楷体" w:hAnsi="楷体" w:eastAsia="楷体"/>
          <w:sz w:val="32"/>
          <w:szCs w:val="32"/>
        </w:rPr>
      </w:pPr>
      <w:r>
        <w:rPr>
          <w:rFonts w:hint="eastAsia" w:ascii="楷体" w:hAnsi="楷体" w:eastAsia="楷体"/>
          <w:sz w:val="32"/>
          <w:szCs w:val="32"/>
        </w:rPr>
        <w:t>（十六）执法人员对农贸市场和“九小”门店管理力度有待加强。</w:t>
      </w:r>
    </w:p>
    <w:p>
      <w:pPr>
        <w:ind w:firstLine="627" w:firstLineChars="196"/>
        <w:rPr>
          <w:rFonts w:ascii="仿宋" w:hAnsi="仿宋" w:eastAsia="仿宋"/>
          <w:sz w:val="32"/>
          <w:szCs w:val="32"/>
        </w:rPr>
      </w:pPr>
      <w:r>
        <w:rPr>
          <w:rFonts w:hint="eastAsia" w:ascii="仿宋" w:hAnsi="仿宋" w:eastAsia="仿宋"/>
          <w:sz w:val="32"/>
          <w:szCs w:val="32"/>
        </w:rPr>
        <w:t>整改情况：</w:t>
      </w:r>
      <w:r>
        <w:rPr>
          <w:rFonts w:hint="eastAsia" w:ascii="仿宋" w:hAnsi="仿宋" w:eastAsia="仿宋"/>
          <w:b/>
          <w:bCs/>
          <w:sz w:val="32"/>
          <w:szCs w:val="32"/>
        </w:rPr>
        <w:t>一</w:t>
      </w:r>
      <w:r>
        <w:rPr>
          <w:rFonts w:hint="eastAsia" w:ascii="仿宋" w:hAnsi="仿宋" w:eastAsia="仿宋"/>
          <w:sz w:val="32"/>
          <w:szCs w:val="32"/>
        </w:rPr>
        <w:t>是流通餐饮股对各基层监管所将农贸市场和小餐饮店、小超市进行风险分级评定的情况加强监管力度，要求各所将分级情况上报至股室(每季度1次)。</w:t>
      </w:r>
      <w:r>
        <w:rPr>
          <w:rFonts w:hint="eastAsia" w:ascii="仿宋" w:hAnsi="仿宋" w:eastAsia="仿宋"/>
          <w:b/>
          <w:bCs/>
          <w:sz w:val="32"/>
          <w:szCs w:val="32"/>
        </w:rPr>
        <w:t>二</w:t>
      </w:r>
      <w:r>
        <w:rPr>
          <w:rFonts w:hint="eastAsia" w:ascii="仿宋" w:hAnsi="仿宋" w:eastAsia="仿宋"/>
          <w:sz w:val="32"/>
          <w:szCs w:val="32"/>
        </w:rPr>
        <w:t>是流通餐饮股加强对各所食品安全监管工作进度的督导，要求各基层监管所将监督管理计划上报至股室（每年年初上报）。</w:t>
      </w:r>
      <w:r>
        <w:rPr>
          <w:rFonts w:hint="eastAsia" w:ascii="仿宋" w:hAnsi="仿宋" w:eastAsia="仿宋"/>
          <w:b/>
          <w:bCs/>
          <w:sz w:val="32"/>
          <w:szCs w:val="32"/>
        </w:rPr>
        <w:t>三</w:t>
      </w:r>
      <w:r>
        <w:rPr>
          <w:rFonts w:hint="eastAsia" w:ascii="仿宋" w:hAnsi="仿宋" w:eastAsia="仿宋"/>
          <w:sz w:val="32"/>
          <w:szCs w:val="32"/>
        </w:rPr>
        <w:t>是流通餐饮股加强对各所食品安全监管工作的督导，按照各所管理计划，每月下基层对各所监管情况进行督导，并将具体监管时间汇总上报至股室（每季度1次）。</w:t>
      </w:r>
    </w:p>
    <w:p>
      <w:pPr>
        <w:ind w:firstLine="480" w:firstLineChars="150"/>
        <w:rPr>
          <w:rFonts w:ascii="楷体" w:hAnsi="楷体" w:eastAsia="楷体"/>
          <w:sz w:val="32"/>
          <w:szCs w:val="32"/>
        </w:rPr>
      </w:pPr>
      <w:r>
        <w:rPr>
          <w:rFonts w:hint="eastAsia" w:ascii="楷体" w:hAnsi="楷体" w:eastAsia="楷体"/>
          <w:sz w:val="32"/>
          <w:szCs w:val="32"/>
        </w:rPr>
        <w:t>（十七）工作纪律意识淡薄，干部管理不严格。</w:t>
      </w:r>
    </w:p>
    <w:p>
      <w:pPr>
        <w:ind w:firstLine="627" w:firstLineChars="196"/>
        <w:rPr>
          <w:rFonts w:ascii="仿宋" w:hAnsi="仿宋" w:eastAsia="仿宋"/>
          <w:sz w:val="32"/>
          <w:szCs w:val="32"/>
        </w:rPr>
      </w:pPr>
      <w:r>
        <w:rPr>
          <w:rFonts w:hint="eastAsia" w:ascii="仿宋" w:hAnsi="仿宋" w:eastAsia="仿宋"/>
          <w:sz w:val="32"/>
          <w:szCs w:val="32"/>
        </w:rPr>
        <w:t>整改情况：按照《龙安区市场监管局关于进一步加强工作人员日常管理的通知》文件要求，严格规范请假销假流程，因工作原因不能按时打卡的要提前填写《公务外出审批单》，由主管领导审批后，交办公室备案，并将每周请假情况于公示栏进行公示，提醒工作人员严格按照请销假制度请假，规范工作纪律。</w:t>
      </w:r>
    </w:p>
    <w:p>
      <w:pPr>
        <w:ind w:firstLine="640" w:firstLineChars="200"/>
        <w:rPr>
          <w:rFonts w:ascii="楷体" w:hAnsi="楷体" w:eastAsia="楷体"/>
          <w:sz w:val="32"/>
          <w:szCs w:val="32"/>
        </w:rPr>
      </w:pPr>
      <w:r>
        <w:rPr>
          <w:rFonts w:hint="eastAsia" w:ascii="楷体" w:hAnsi="楷体" w:eastAsia="楷体"/>
          <w:sz w:val="32"/>
          <w:szCs w:val="32"/>
        </w:rPr>
        <w:t>（十八）2022年党支部换届缺少党组会议研究、相关请示、批复、报告，以及支委会相关记录。</w:t>
      </w:r>
    </w:p>
    <w:p>
      <w:pPr>
        <w:ind w:firstLine="627" w:firstLineChars="196"/>
        <w:rPr>
          <w:rFonts w:ascii="仿宋" w:hAnsi="仿宋" w:eastAsia="仿宋"/>
          <w:sz w:val="32"/>
          <w:szCs w:val="32"/>
        </w:rPr>
      </w:pPr>
      <w:r>
        <w:rPr>
          <w:rFonts w:hint="eastAsia" w:ascii="仿宋" w:hAnsi="仿宋" w:eastAsia="仿宋"/>
          <w:sz w:val="32"/>
          <w:szCs w:val="32"/>
        </w:rPr>
        <w:t>整改情况：针对请示、批复环节缺失的问题，我们及时向上级党组织提交了关于党支部换届选举工作的请示报告，并严格按照上级党组织的批复要求，开展换届选举工作。同时，注意今后加强与上级党组织的沟通联系，确保请示、批复程序的规范性和及时性。</w:t>
      </w:r>
    </w:p>
    <w:p>
      <w:pPr>
        <w:ind w:firstLine="627" w:firstLineChars="196"/>
        <w:rPr>
          <w:rFonts w:ascii="楷体" w:hAnsi="楷体" w:eastAsia="楷体"/>
          <w:sz w:val="32"/>
          <w:szCs w:val="32"/>
        </w:rPr>
      </w:pPr>
      <w:r>
        <w:rPr>
          <w:rFonts w:hint="eastAsia" w:ascii="楷体" w:hAnsi="楷体" w:eastAsia="楷体"/>
          <w:sz w:val="32"/>
          <w:szCs w:val="32"/>
        </w:rPr>
        <w:t>（十九）机关科室未按最新事业单位清理规范文件设置到位。</w:t>
      </w:r>
    </w:p>
    <w:p>
      <w:pPr>
        <w:ind w:firstLine="627" w:firstLineChars="196"/>
        <w:rPr>
          <w:rFonts w:ascii="仿宋" w:hAnsi="仿宋" w:eastAsia="仿宋"/>
          <w:sz w:val="32"/>
          <w:szCs w:val="32"/>
        </w:rPr>
      </w:pPr>
      <w:r>
        <w:rPr>
          <w:rFonts w:hint="eastAsia" w:ascii="仿宋" w:hAnsi="仿宋" w:eastAsia="仿宋"/>
          <w:sz w:val="32"/>
          <w:szCs w:val="32"/>
        </w:rPr>
        <w:t>整改情况：学习贯彻最新清理规范文件，认真贯彻落实有关事业单位清理规范文件，确保机关科室有效运转。</w:t>
      </w:r>
    </w:p>
    <w:p>
      <w:pPr>
        <w:ind w:firstLine="640" w:firstLineChars="200"/>
        <w:rPr>
          <w:rFonts w:ascii="楷体" w:hAnsi="楷体" w:eastAsia="楷体"/>
          <w:sz w:val="32"/>
          <w:szCs w:val="32"/>
        </w:rPr>
      </w:pPr>
      <w:r>
        <w:rPr>
          <w:rFonts w:hint="eastAsia" w:ascii="楷体" w:hAnsi="楷体" w:eastAsia="楷体"/>
          <w:sz w:val="32"/>
          <w:szCs w:val="32"/>
        </w:rPr>
        <w:t>（二十）近三年干部缺乏轮岗交流，2023年以前无中层干部任命情况。</w:t>
      </w:r>
    </w:p>
    <w:p>
      <w:pPr>
        <w:ind w:firstLine="627" w:firstLineChars="196"/>
        <w:rPr>
          <w:rFonts w:ascii="仿宋" w:hAnsi="仿宋" w:eastAsia="仿宋"/>
          <w:sz w:val="32"/>
          <w:szCs w:val="32"/>
        </w:rPr>
      </w:pPr>
      <w:r>
        <w:rPr>
          <w:rFonts w:hint="eastAsia" w:ascii="仿宋" w:hAnsi="仿宋" w:eastAsia="仿宋"/>
          <w:sz w:val="32"/>
          <w:szCs w:val="32"/>
        </w:rPr>
        <w:t>整改情况：认真贯彻落实组织部有关中层干部文件要求，目前已按照要求进行中层干部申请任命。</w:t>
      </w:r>
    </w:p>
    <w:p>
      <w:pPr>
        <w:ind w:firstLine="640" w:firstLineChars="200"/>
        <w:rPr>
          <w:rFonts w:ascii="楷体" w:hAnsi="楷体" w:eastAsia="楷体"/>
          <w:sz w:val="32"/>
          <w:szCs w:val="32"/>
        </w:rPr>
      </w:pPr>
      <w:r>
        <w:rPr>
          <w:rFonts w:hint="eastAsia" w:ascii="楷体" w:hAnsi="楷体" w:eastAsia="楷体"/>
          <w:sz w:val="32"/>
          <w:szCs w:val="32"/>
        </w:rPr>
        <w:t>（二十一）无2020年优秀考核人选党组会议研究情况。</w:t>
      </w:r>
    </w:p>
    <w:p>
      <w:pPr>
        <w:ind w:firstLine="627" w:firstLineChars="196"/>
        <w:rPr>
          <w:rFonts w:ascii="仿宋" w:hAnsi="仿宋" w:eastAsia="仿宋"/>
          <w:sz w:val="32"/>
          <w:szCs w:val="32"/>
        </w:rPr>
      </w:pPr>
      <w:r>
        <w:rPr>
          <w:rFonts w:hint="eastAsia" w:ascii="仿宋" w:hAnsi="仿宋" w:eastAsia="仿宋"/>
          <w:sz w:val="32"/>
          <w:szCs w:val="32"/>
        </w:rPr>
        <w:t>整改情况：一是完善考核制度和标准：制定了龙安区市场监管局事业人员年度考核方案。二是加强考核过程管理：我们加强了对考核过程的监督管理，确保考核工作的规范化和透明化，避免了人为干预和主观臆断。三是严格执行考核结果运用：我们严格按照考核结果进行奖惩，对表现优秀的干部职工给予表彰和奖励，对表现不佳的干部职工进行约谈和督促整改。</w:t>
      </w:r>
    </w:p>
    <w:p>
      <w:pPr>
        <w:ind w:firstLine="640" w:firstLineChars="200"/>
        <w:rPr>
          <w:rFonts w:ascii="楷体" w:hAnsi="楷体" w:eastAsia="楷体"/>
          <w:sz w:val="32"/>
          <w:szCs w:val="32"/>
        </w:rPr>
      </w:pPr>
      <w:r>
        <w:rPr>
          <w:rFonts w:hint="eastAsia" w:ascii="楷体" w:hAnsi="楷体" w:eastAsia="楷体"/>
          <w:sz w:val="32"/>
          <w:szCs w:val="32"/>
        </w:rPr>
        <w:t>（二十二）未见近三年民主生活会前谈心谈话情况。</w:t>
      </w:r>
    </w:p>
    <w:p>
      <w:pPr>
        <w:ind w:firstLine="627" w:firstLineChars="196"/>
        <w:rPr>
          <w:rFonts w:ascii="仿宋" w:hAnsi="仿宋" w:eastAsia="仿宋"/>
          <w:sz w:val="32"/>
          <w:szCs w:val="32"/>
        </w:rPr>
      </w:pPr>
      <w:r>
        <w:rPr>
          <w:rFonts w:ascii="仿宋" w:hAnsi="仿宋" w:eastAsia="仿宋"/>
          <w:sz w:val="32"/>
          <w:szCs w:val="32"/>
        </w:rPr>
        <w:t>整改情况：根据工作要求，与党员干部</w:t>
      </w:r>
      <w:r>
        <w:rPr>
          <w:rFonts w:hint="eastAsia" w:ascii="仿宋" w:hAnsi="仿宋" w:eastAsia="仿宋"/>
          <w:sz w:val="32"/>
          <w:szCs w:val="32"/>
        </w:rPr>
        <w:t>深入开展</w:t>
      </w:r>
      <w:r>
        <w:rPr>
          <w:rFonts w:ascii="仿宋" w:hAnsi="仿宋" w:eastAsia="仿宋"/>
          <w:sz w:val="32"/>
          <w:szCs w:val="32"/>
        </w:rPr>
        <w:t>谈心谈话。在谈话中，既谈工作问题，也谈思想问题；既谈自身差距，也</w:t>
      </w:r>
      <w:r>
        <w:rPr>
          <w:rFonts w:hint="eastAsia" w:ascii="仿宋" w:hAnsi="仿宋" w:eastAsia="仿宋"/>
          <w:sz w:val="32"/>
          <w:szCs w:val="32"/>
        </w:rPr>
        <w:t>注意</w:t>
      </w:r>
      <w:r>
        <w:rPr>
          <w:rFonts w:ascii="仿宋" w:hAnsi="仿宋" w:eastAsia="仿宋"/>
          <w:sz w:val="32"/>
          <w:szCs w:val="32"/>
        </w:rPr>
        <w:t>提醒对方</w:t>
      </w:r>
      <w:r>
        <w:rPr>
          <w:rFonts w:hint="eastAsia" w:ascii="仿宋" w:hAnsi="仿宋" w:eastAsia="仿宋"/>
          <w:sz w:val="32"/>
          <w:szCs w:val="32"/>
        </w:rPr>
        <w:t>存在的缺点和</w:t>
      </w:r>
      <w:r>
        <w:rPr>
          <w:rFonts w:ascii="仿宋" w:hAnsi="仿宋" w:eastAsia="仿宋"/>
          <w:sz w:val="32"/>
          <w:szCs w:val="32"/>
        </w:rPr>
        <w:t>不足</w:t>
      </w:r>
      <w:r>
        <w:rPr>
          <w:rFonts w:hint="eastAsia" w:ascii="仿宋" w:hAnsi="仿宋" w:eastAsia="仿宋"/>
          <w:sz w:val="32"/>
          <w:szCs w:val="32"/>
        </w:rPr>
        <w:t>，坚持做到每次谈心谈话后做好相应谈话记录。</w:t>
      </w:r>
    </w:p>
    <w:p>
      <w:pPr>
        <w:ind w:firstLine="627" w:firstLineChars="196"/>
        <w:rPr>
          <w:rFonts w:ascii="楷体" w:hAnsi="楷体" w:eastAsia="楷体"/>
          <w:sz w:val="32"/>
          <w:szCs w:val="32"/>
        </w:rPr>
      </w:pPr>
      <w:r>
        <w:rPr>
          <w:rFonts w:hint="eastAsia" w:ascii="楷体" w:hAnsi="楷体" w:eastAsia="楷体"/>
          <w:sz w:val="32"/>
          <w:szCs w:val="32"/>
        </w:rPr>
        <w:t>（二十三）2018年6月20日至7月15日，龙安区委第三巡察组对区食品药品监督管理局进行了巡察，共反馈问题15个，已完成到位11个，全面从严治党，“两个责任”落实不力、党建活动开展不扎实，工作标准不高、组织纪律意识淡薄、干部管理不严格，机构设置不规范仍未整改到位;巡察发现与审计监督内容相关的问题5个，已完成到位3个，凭证账目不规范问题、未入固定资产问题仍存在。</w:t>
      </w:r>
    </w:p>
    <w:p>
      <w:pPr>
        <w:ind w:firstLine="627" w:firstLineChars="196"/>
        <w:rPr>
          <w:rFonts w:ascii="仿宋" w:hAnsi="仿宋" w:eastAsia="仿宋"/>
          <w:sz w:val="32"/>
          <w:szCs w:val="32"/>
        </w:rPr>
      </w:pPr>
      <w:r>
        <w:rPr>
          <w:rFonts w:hint="eastAsia" w:ascii="仿宋" w:hAnsi="仿宋" w:eastAsia="仿宋"/>
          <w:sz w:val="32"/>
          <w:szCs w:val="32"/>
        </w:rPr>
        <w:t>整改情况：一是加强党建活动组织与实施。根据区委组织部“主题党日”指导意见，结合工作实际，制定每月党建活动计划，确保活动内容丰富、形式多样，并严格按照计划执行。二是提高工作标准与要求。根据本单位党建工作相关规章制度，进一步明确工作标准和要求，不断提高业务能力和工作水平，确保党建工作高质量开展。三是强化组织纪律与干部管理。组织开展“明方向、立规矩、正风气、强免疫”专题纪律教育和警示教育活动，不断强化纪律教育，引导广大党员干部自觉遵守党的纪律和规矩。同时，强化对党员干部的日常管理和考核，对违反纪律的行为进行严肃处理，确保干部队伍的纯洁性和战斗力。四是组织财务人员认真学习财经纪律，增强责任意识、把关意识，严格执行会计制度相关要求，加强财务票据审核力度，对签批手续不完善或附件不齐的发票一律不予报账。夯实资产管理基础，加强固定资产日常管理，新购置的固定资产及时入账确保账实相符。</w:t>
      </w:r>
    </w:p>
    <w:p>
      <w:pPr>
        <w:ind w:firstLine="627" w:firstLineChars="196"/>
        <w:rPr>
          <w:rFonts w:ascii="黑体" w:hAnsi="黑体" w:eastAsia="黑体"/>
          <w:sz w:val="32"/>
          <w:szCs w:val="32"/>
        </w:rPr>
      </w:pPr>
      <w:r>
        <w:rPr>
          <w:rFonts w:hint="eastAsia" w:ascii="黑体" w:hAnsi="黑体" w:eastAsia="黑体"/>
          <w:sz w:val="32"/>
          <w:szCs w:val="32"/>
          <w:lang w:eastAsia="zh-CN"/>
        </w:rPr>
        <w:t>三</w:t>
      </w:r>
      <w:r>
        <w:rPr>
          <w:rFonts w:hint="eastAsia" w:ascii="黑体" w:hAnsi="黑体" w:eastAsia="黑体"/>
          <w:sz w:val="32"/>
          <w:szCs w:val="32"/>
        </w:rPr>
        <w:t>、下一步打算</w:t>
      </w:r>
    </w:p>
    <w:p>
      <w:pPr>
        <w:ind w:firstLine="640" w:firstLineChars="200"/>
        <w:rPr>
          <w:rFonts w:ascii="仿宋" w:hAnsi="仿宋" w:eastAsia="仿宋"/>
          <w:sz w:val="32"/>
          <w:szCs w:val="32"/>
        </w:rPr>
      </w:pPr>
      <w:r>
        <w:rPr>
          <w:rFonts w:ascii="楷体" w:hAnsi="楷体" w:eastAsia="楷体"/>
          <w:sz w:val="32"/>
          <w:szCs w:val="32"/>
        </w:rPr>
        <w:t>（一）思想高度重视。</w:t>
      </w:r>
      <w:r>
        <w:rPr>
          <w:rFonts w:ascii="仿宋" w:hAnsi="仿宋" w:eastAsia="仿宋"/>
          <w:sz w:val="32"/>
          <w:szCs w:val="32"/>
        </w:rPr>
        <w:t>务必统一思想、端正态度、提高认识，按照</w:t>
      </w:r>
      <w:r>
        <w:rPr>
          <w:rFonts w:hint="eastAsia" w:ascii="仿宋" w:hAnsi="仿宋" w:eastAsia="仿宋"/>
          <w:sz w:val="32"/>
          <w:szCs w:val="32"/>
        </w:rPr>
        <w:t>区</w:t>
      </w:r>
      <w:r>
        <w:rPr>
          <w:rFonts w:ascii="仿宋" w:hAnsi="仿宋" w:eastAsia="仿宋"/>
          <w:sz w:val="32"/>
          <w:szCs w:val="32"/>
        </w:rPr>
        <w:t>委第</w:t>
      </w:r>
      <w:r>
        <w:rPr>
          <w:rFonts w:hint="eastAsia" w:ascii="仿宋" w:hAnsi="仿宋" w:eastAsia="仿宋"/>
          <w:sz w:val="32"/>
          <w:szCs w:val="32"/>
        </w:rPr>
        <w:t>一</w:t>
      </w:r>
      <w:r>
        <w:rPr>
          <w:rFonts w:ascii="仿宋" w:hAnsi="仿宋" w:eastAsia="仿宋"/>
          <w:sz w:val="32"/>
          <w:szCs w:val="32"/>
        </w:rPr>
        <w:t>巡察组反馈的问题，认真梳理巡察反馈意见，以不见成效决不罢休的精神，夯实整改基础、坚定整改决心、谋求整改成效，做到整改事项件件有着落、事事有回音。</w:t>
      </w:r>
    </w:p>
    <w:p>
      <w:pPr>
        <w:ind w:firstLine="640" w:firstLineChars="200"/>
        <w:rPr>
          <w:rFonts w:ascii="仿宋" w:hAnsi="仿宋" w:eastAsia="仿宋"/>
          <w:sz w:val="32"/>
          <w:szCs w:val="32"/>
        </w:rPr>
      </w:pPr>
      <w:r>
        <w:rPr>
          <w:rFonts w:ascii="楷体" w:hAnsi="楷体" w:eastAsia="楷体"/>
          <w:sz w:val="32"/>
          <w:szCs w:val="32"/>
        </w:rPr>
        <w:t>（二）强化正风肃纪。</w:t>
      </w:r>
      <w:r>
        <w:rPr>
          <w:rFonts w:ascii="仿宋" w:hAnsi="仿宋" w:eastAsia="仿宋"/>
          <w:sz w:val="32"/>
          <w:szCs w:val="32"/>
        </w:rPr>
        <w:t>对整改工作中搞形式主义、敷衍塞责、弄虚作假的，以及顶着不办、拖着不改的人和事，要严肃追究负责人和当事人的责任。对一边搞整改、一边依然顶风违纪行为要“零容忍”，严肃处理，绝不姑息。</w:t>
      </w:r>
    </w:p>
    <w:p>
      <w:pPr>
        <w:ind w:firstLine="640" w:firstLineChars="200"/>
        <w:rPr>
          <w:rFonts w:ascii="仿宋" w:hAnsi="仿宋" w:eastAsia="仿宋"/>
          <w:sz w:val="32"/>
          <w:szCs w:val="32"/>
        </w:rPr>
      </w:pPr>
      <w:r>
        <w:rPr>
          <w:rFonts w:ascii="楷体" w:hAnsi="楷体" w:eastAsia="楷体"/>
          <w:sz w:val="32"/>
          <w:szCs w:val="32"/>
        </w:rPr>
        <w:t>（三）严格落实责任。</w:t>
      </w:r>
      <w:r>
        <w:rPr>
          <w:rFonts w:ascii="仿宋" w:hAnsi="仿宋" w:eastAsia="仿宋"/>
          <w:sz w:val="32"/>
          <w:szCs w:val="32"/>
        </w:rPr>
        <w:t>整改工作由党组书记负总责，党组成员按照整改方案明确的内容及工作职责分别牵头，精心谋划，抓好落实。</w:t>
      </w:r>
    </w:p>
    <w:p>
      <w:pPr>
        <w:ind w:firstLine="640" w:firstLineChars="200"/>
        <w:rPr>
          <w:rFonts w:ascii="仿宋" w:hAnsi="仿宋" w:eastAsia="仿宋"/>
          <w:sz w:val="32"/>
          <w:szCs w:val="32"/>
        </w:rPr>
      </w:pPr>
      <w:r>
        <w:rPr>
          <w:rFonts w:ascii="楷体" w:hAnsi="楷体" w:eastAsia="楷体"/>
          <w:sz w:val="32"/>
          <w:szCs w:val="32"/>
        </w:rPr>
        <w:t>（四）专项整改到位。</w:t>
      </w:r>
      <w:r>
        <w:rPr>
          <w:rFonts w:ascii="仿宋" w:hAnsi="仿宋" w:eastAsia="仿宋"/>
          <w:sz w:val="32"/>
          <w:szCs w:val="32"/>
        </w:rPr>
        <w:t>整改工作以反馈问题为重点，要结合</w:t>
      </w:r>
      <w:r>
        <w:rPr>
          <w:rFonts w:hint="eastAsia" w:ascii="仿宋" w:hAnsi="仿宋" w:eastAsia="仿宋"/>
          <w:sz w:val="32"/>
          <w:szCs w:val="32"/>
        </w:rPr>
        <w:t>市场监管</w:t>
      </w:r>
      <w:r>
        <w:rPr>
          <w:rFonts w:ascii="仿宋" w:hAnsi="仿宋" w:eastAsia="仿宋"/>
          <w:sz w:val="32"/>
          <w:szCs w:val="32"/>
        </w:rPr>
        <w:t>工作实际，对照“四个意识”，进一步深入自查、自省、自纠，全面深入查摆和整改全局作风建设、队伍建设、工作履职、依法行政、落实中央八项规定等方面的问题。</w:t>
      </w:r>
    </w:p>
    <w:p>
      <w:pPr>
        <w:ind w:firstLine="640" w:firstLineChars="200"/>
        <w:rPr>
          <w:rFonts w:ascii="仿宋" w:hAnsi="仿宋" w:eastAsia="仿宋"/>
          <w:sz w:val="32"/>
          <w:szCs w:val="32"/>
        </w:rPr>
      </w:pPr>
      <w:r>
        <w:rPr>
          <w:rFonts w:ascii="楷体" w:hAnsi="楷体" w:eastAsia="楷体"/>
          <w:sz w:val="32"/>
          <w:szCs w:val="32"/>
        </w:rPr>
        <w:t>（五）务实建章立制。</w:t>
      </w:r>
      <w:r>
        <w:rPr>
          <w:rFonts w:ascii="仿宋" w:hAnsi="仿宋" w:eastAsia="仿宋"/>
          <w:sz w:val="32"/>
          <w:szCs w:val="32"/>
        </w:rPr>
        <w:t>建立健全各类规章制度，不断巩固和扩大整改成果，形成长效工作机制。把落实整改和解决问题作为提升能力的有利机遇，对照</w:t>
      </w:r>
      <w:r>
        <w:rPr>
          <w:rFonts w:hint="eastAsia" w:ascii="仿宋" w:hAnsi="仿宋" w:eastAsia="仿宋"/>
          <w:sz w:val="32"/>
          <w:szCs w:val="32"/>
        </w:rPr>
        <w:t>区</w:t>
      </w:r>
      <w:r>
        <w:rPr>
          <w:rFonts w:ascii="仿宋" w:hAnsi="仿宋" w:eastAsia="仿宋"/>
          <w:sz w:val="32"/>
          <w:szCs w:val="32"/>
        </w:rPr>
        <w:t>委第</w:t>
      </w:r>
      <w:r>
        <w:rPr>
          <w:rFonts w:hint="eastAsia" w:ascii="仿宋" w:hAnsi="仿宋" w:eastAsia="仿宋"/>
          <w:sz w:val="32"/>
          <w:szCs w:val="32"/>
        </w:rPr>
        <w:t>一</w:t>
      </w:r>
      <w:r>
        <w:rPr>
          <w:rFonts w:ascii="仿宋" w:hAnsi="仿宋" w:eastAsia="仿宋"/>
          <w:sz w:val="32"/>
          <w:szCs w:val="32"/>
        </w:rPr>
        <w:t>巡察组的要求，认真反思总结，真正使整改的过程成为提高领导班子凝聚力、战斗力、创造力的过程，成为促进</w:t>
      </w:r>
      <w:r>
        <w:rPr>
          <w:rFonts w:hint="eastAsia" w:ascii="仿宋" w:hAnsi="仿宋" w:eastAsia="仿宋"/>
          <w:sz w:val="32"/>
          <w:szCs w:val="32"/>
        </w:rPr>
        <w:t>领导</w:t>
      </w:r>
      <w:r>
        <w:rPr>
          <w:rFonts w:ascii="仿宋" w:hAnsi="仿宋" w:eastAsia="仿宋"/>
          <w:sz w:val="32"/>
          <w:szCs w:val="32"/>
        </w:rPr>
        <w:t>班子和干部队伍作风转变的过程，成为推动</w:t>
      </w:r>
      <w:r>
        <w:rPr>
          <w:rFonts w:hint="eastAsia" w:ascii="仿宋" w:hAnsi="仿宋" w:eastAsia="仿宋"/>
          <w:sz w:val="32"/>
          <w:szCs w:val="32"/>
        </w:rPr>
        <w:t>市场监管</w:t>
      </w:r>
      <w:r>
        <w:rPr>
          <w:rFonts w:ascii="仿宋" w:hAnsi="仿宋" w:eastAsia="仿宋"/>
          <w:sz w:val="32"/>
          <w:szCs w:val="32"/>
        </w:rPr>
        <w:t>工作的过程。</w:t>
      </w:r>
    </w:p>
    <w:p>
      <w:pPr>
        <w:ind w:firstLine="640" w:firstLineChars="200"/>
        <w:rPr>
          <w:rFonts w:ascii="仿宋" w:hAnsi="仿宋" w:eastAsia="仿宋"/>
          <w:sz w:val="32"/>
          <w:szCs w:val="32"/>
        </w:rPr>
      </w:pPr>
      <w:r>
        <w:rPr>
          <w:rFonts w:hint="eastAsia" w:ascii="楷体" w:hAnsi="楷体" w:eastAsia="楷体"/>
          <w:sz w:val="32"/>
          <w:szCs w:val="32"/>
        </w:rPr>
        <w:t>（六）及时汇报总结。</w:t>
      </w:r>
      <w:r>
        <w:rPr>
          <w:rFonts w:ascii="仿宋" w:hAnsi="仿宋" w:eastAsia="仿宋"/>
          <w:sz w:val="32"/>
          <w:szCs w:val="32"/>
        </w:rPr>
        <w:t>要坚决按照整改时限完成整改任务，并及时向</w:t>
      </w:r>
      <w:r>
        <w:rPr>
          <w:rFonts w:hint="eastAsia" w:ascii="仿宋" w:hAnsi="仿宋" w:eastAsia="仿宋"/>
          <w:sz w:val="32"/>
          <w:szCs w:val="32"/>
        </w:rPr>
        <w:t>区</w:t>
      </w:r>
      <w:r>
        <w:rPr>
          <w:rFonts w:ascii="仿宋" w:hAnsi="仿宋" w:eastAsia="仿宋"/>
          <w:sz w:val="32"/>
          <w:szCs w:val="32"/>
        </w:rPr>
        <w:t>委第</w:t>
      </w:r>
      <w:r>
        <w:rPr>
          <w:rFonts w:hint="eastAsia" w:ascii="仿宋" w:hAnsi="仿宋" w:eastAsia="仿宋"/>
          <w:sz w:val="32"/>
          <w:szCs w:val="32"/>
        </w:rPr>
        <w:t>一</w:t>
      </w:r>
      <w:r>
        <w:rPr>
          <w:rFonts w:ascii="仿宋" w:hAnsi="仿宋" w:eastAsia="仿宋"/>
          <w:sz w:val="32"/>
          <w:szCs w:val="32"/>
        </w:rPr>
        <w:t>巡察组汇报</w:t>
      </w:r>
      <w:r>
        <w:rPr>
          <w:rFonts w:hint="eastAsia" w:ascii="仿宋" w:hAnsi="仿宋" w:eastAsia="仿宋"/>
          <w:sz w:val="32"/>
          <w:szCs w:val="32"/>
        </w:rPr>
        <w:t>整改</w:t>
      </w:r>
      <w:r>
        <w:rPr>
          <w:rFonts w:ascii="仿宋" w:hAnsi="仿宋" w:eastAsia="仿宋"/>
          <w:sz w:val="32"/>
          <w:szCs w:val="32"/>
        </w:rPr>
        <w:t>工作进展情况，随时征求巡察组对整改情况及我局整体工作的意见建议。整改完成后，对整改工作进行全面总结，形成客观的汇报材料，向</w:t>
      </w:r>
      <w:r>
        <w:rPr>
          <w:rFonts w:hint="eastAsia" w:ascii="仿宋" w:hAnsi="仿宋" w:eastAsia="仿宋"/>
          <w:sz w:val="32"/>
          <w:szCs w:val="32"/>
        </w:rPr>
        <w:t>区</w:t>
      </w:r>
      <w:r>
        <w:rPr>
          <w:rFonts w:ascii="仿宋" w:hAnsi="仿宋" w:eastAsia="仿宋"/>
          <w:sz w:val="32"/>
          <w:szCs w:val="32"/>
        </w:rPr>
        <w:t>委巡察办专题报告整改落实情况，</w:t>
      </w:r>
      <w:r>
        <w:rPr>
          <w:rFonts w:hint="eastAsia" w:ascii="仿宋" w:hAnsi="仿宋" w:eastAsia="仿宋"/>
          <w:sz w:val="32"/>
          <w:szCs w:val="32"/>
        </w:rPr>
        <w:t>并按照要求做好整改公开</w:t>
      </w:r>
      <w:r>
        <w:rPr>
          <w:rFonts w:ascii="仿宋" w:hAnsi="仿宋" w:eastAsia="仿宋"/>
          <w:sz w:val="32"/>
          <w:szCs w:val="32"/>
        </w:rPr>
        <w:t>工作。</w:t>
      </w:r>
    </w:p>
    <w:p>
      <w:pPr>
        <w:pStyle w:val="2"/>
        <w:rPr>
          <w:rFonts w:ascii="仿宋" w:hAnsi="仿宋" w:eastAsia="仿宋"/>
          <w:sz w:val="32"/>
          <w:szCs w:val="32"/>
        </w:rPr>
      </w:pP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欢迎广大干部群众对巡察整改落实情况进行监督。如有意见和建议，请及时向我们反映。联系方式：电话0372-3393927；电子信箱laqwxcbgs@163.com。</w:t>
      </w:r>
    </w:p>
    <w:p>
      <w:pPr>
        <w:ind w:firstLine="640" w:firstLineChars="200"/>
        <w:jc w:val="right"/>
        <w:rPr>
          <w:rFonts w:hint="eastAsia" w:ascii="仿宋" w:hAnsi="仿宋" w:eastAsia="仿宋"/>
          <w:sz w:val="32"/>
          <w:szCs w:val="32"/>
        </w:rPr>
      </w:pPr>
      <w:bookmarkStart w:id="0" w:name="_GoBack"/>
      <w:bookmarkEnd w:id="0"/>
    </w:p>
    <w:p>
      <w:pPr>
        <w:ind w:firstLine="640" w:firstLineChars="200"/>
        <w:jc w:val="right"/>
        <w:rPr>
          <w:rFonts w:hint="eastAsia" w:ascii="仿宋" w:hAnsi="仿宋" w:eastAsia="仿宋"/>
          <w:sz w:val="32"/>
          <w:szCs w:val="32"/>
        </w:rPr>
      </w:pPr>
      <w:r>
        <w:rPr>
          <w:rFonts w:hint="eastAsia" w:ascii="仿宋" w:hAnsi="仿宋" w:eastAsia="仿宋"/>
          <w:sz w:val="32"/>
          <w:szCs w:val="32"/>
        </w:rPr>
        <w:t>龙安区市场监督管理局</w:t>
      </w:r>
    </w:p>
    <w:p>
      <w:pPr>
        <w:ind w:firstLine="640" w:firstLineChars="200"/>
        <w:jc w:val="right"/>
        <w:rPr>
          <w:rFonts w:ascii="仿宋" w:hAnsi="仿宋" w:eastAsia="仿宋"/>
          <w:sz w:val="32"/>
          <w:szCs w:val="32"/>
        </w:rPr>
      </w:pPr>
      <w:r>
        <w:rPr>
          <w:rFonts w:hint="eastAsia" w:ascii="仿宋" w:hAnsi="仿宋" w:eastAsia="仿宋"/>
          <w:sz w:val="32"/>
          <w:szCs w:val="32"/>
        </w:rPr>
        <w:t>2024年4月16日</w:t>
      </w:r>
    </w:p>
    <w:p>
      <w:pPr>
        <w:rPr>
          <w:rFonts w:ascii="仿宋" w:hAnsi="仿宋" w:eastAsia="仿宋"/>
          <w:sz w:val="32"/>
          <w:szCs w:val="32"/>
        </w:rPr>
      </w:pPr>
      <w:r>
        <w:rPr>
          <w:rFonts w:ascii="仿宋" w:hAnsi="仿宋" w:eastAsia="仿宋"/>
          <w:sz w:val="32"/>
          <w:szCs w:val="32"/>
        </w:rPr>
        <w:t xml:space="preserve"> </w:t>
      </w:r>
    </w:p>
    <w:p>
      <w:pPr>
        <w:jc w:val="right"/>
        <w:rPr>
          <w:rFonts w:ascii="仿宋" w:hAnsi="仿宋" w:eastAsia="仿宋"/>
          <w:sz w:val="32"/>
          <w:szCs w:val="32"/>
        </w:rPr>
      </w:pPr>
      <w:r>
        <w:rPr>
          <w:rFonts w:hint="eastAsia" w:ascii="仿宋" w:hAnsi="仿宋" w:eastAsia="仿宋"/>
          <w:sz w:val="32"/>
          <w:szCs w:val="32"/>
        </w:rPr>
        <w:t xml:space="preserve">  </w:t>
      </w:r>
    </w:p>
    <w:p>
      <w:pPr>
        <w:jc w:val="right"/>
        <w:rPr>
          <w:rFonts w:ascii="仿宋" w:hAnsi="仿宋" w:eastAsia="仿宋"/>
          <w:sz w:val="32"/>
          <w:szCs w:val="32"/>
        </w:rPr>
      </w:pPr>
    </w:p>
    <w:sectPr>
      <w:headerReference r:id="rId3" w:type="default"/>
      <w:footerReference r:id="rId5" w:type="default"/>
      <w:headerReference r:id="rId4" w:type="even"/>
      <w:footerReference r:id="rId6" w:type="even"/>
      <w:pgSz w:w="11906" w:h="16838"/>
      <w:pgMar w:top="1418" w:right="1474" w:bottom="1418"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07902"/>
      <w:docPartObj>
        <w:docPartGallery w:val="AutoText"/>
      </w:docPartObj>
    </w:sdtPr>
    <w:sdtContent>
      <w:p>
        <w:pPr>
          <w:pStyle w:val="7"/>
          <w:jc w:val="right"/>
        </w:pPr>
        <w:r>
          <w:rPr>
            <w:rFonts w:hint="eastAsia"/>
          </w:rPr>
          <w:t>—</w:t>
        </w:r>
        <w:r>
          <w:fldChar w:fldCharType="begin"/>
        </w:r>
        <w:r>
          <w:instrText xml:space="preserve"> PAGE   \* MERGEFORMAT </w:instrText>
        </w:r>
        <w:r>
          <w:fldChar w:fldCharType="separate"/>
        </w:r>
        <w:r>
          <w:rPr>
            <w:lang w:val="zh-CN"/>
          </w:rPr>
          <w:t>1</w:t>
        </w:r>
        <w:r>
          <w:rPr>
            <w:lang w:val="zh-CN"/>
          </w:rPr>
          <w:fldChar w:fldCharType="end"/>
        </w:r>
        <w:r>
          <w:rPr>
            <w:rFonts w:hint="eastAsia"/>
          </w:rPr>
          <w:t>—</w:t>
        </w:r>
      </w:p>
    </w:sdtContent>
  </w:sdt>
  <w:p>
    <w:pPr>
      <w:pStyle w:val="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07922"/>
      <w:docPartObj>
        <w:docPartGallery w:val="AutoText"/>
      </w:docPartObj>
    </w:sdtPr>
    <w:sdtContent>
      <w:p>
        <w:pPr>
          <w:pStyle w:val="7"/>
        </w:pPr>
        <w:r>
          <w:rPr>
            <w:rFonts w:hint="eastAsia"/>
          </w:rPr>
          <w:t>—</w:t>
        </w:r>
        <w:r>
          <w:fldChar w:fldCharType="begin"/>
        </w:r>
        <w:r>
          <w:instrText xml:space="preserve"> PAGE   \* MERGEFORMAT </w:instrText>
        </w:r>
        <w:r>
          <w:fldChar w:fldCharType="separate"/>
        </w:r>
        <w:r>
          <w:rPr>
            <w:lang w:val="zh-CN"/>
          </w:rPr>
          <w:t>2</w:t>
        </w:r>
        <w:r>
          <w:rPr>
            <w:lang w:val="zh-CN"/>
          </w:rPr>
          <w:fldChar w:fldCharType="end"/>
        </w:r>
        <w:r>
          <w:rPr>
            <w:rFonts w:hint="eastAsia"/>
          </w:rPr>
          <w:t>—</w:t>
        </w:r>
      </w:p>
    </w:sdtContent>
  </w:sdt>
  <w:p>
    <w:pPr>
      <w:pStyle w:val="7"/>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1"/>
  <w:bordersDoNotSurroundFooter w:val="1"/>
  <w:documentProtection w:enforcement="0"/>
  <w:defaultTabStop w:val="420"/>
  <w:evenAndOddHeaders w:val="1"/>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ODA2YjVhNzUxMTc5MTFmMjNjYWFhNTA0NTM2OTM2YTMifQ=="/>
  </w:docVars>
  <w:rsids>
    <w:rsidRoot w:val="00B95EBC"/>
    <w:rsid w:val="00003AA2"/>
    <w:rsid w:val="00010D6A"/>
    <w:rsid w:val="00022AF0"/>
    <w:rsid w:val="0003074C"/>
    <w:rsid w:val="00085497"/>
    <w:rsid w:val="00097B1D"/>
    <w:rsid w:val="00097BA8"/>
    <w:rsid w:val="000B404B"/>
    <w:rsid w:val="001162C8"/>
    <w:rsid w:val="00117C59"/>
    <w:rsid w:val="00120C10"/>
    <w:rsid w:val="00164912"/>
    <w:rsid w:val="0017223D"/>
    <w:rsid w:val="001847E9"/>
    <w:rsid w:val="00191AE1"/>
    <w:rsid w:val="001A6C09"/>
    <w:rsid w:val="001B1334"/>
    <w:rsid w:val="001C63EF"/>
    <w:rsid w:val="001D0D35"/>
    <w:rsid w:val="001E796A"/>
    <w:rsid w:val="00204469"/>
    <w:rsid w:val="002549DC"/>
    <w:rsid w:val="002840F6"/>
    <w:rsid w:val="002A4EA8"/>
    <w:rsid w:val="002A643D"/>
    <w:rsid w:val="002C0F6D"/>
    <w:rsid w:val="002D5B88"/>
    <w:rsid w:val="002D7483"/>
    <w:rsid w:val="002E1D79"/>
    <w:rsid w:val="002F44D8"/>
    <w:rsid w:val="00304149"/>
    <w:rsid w:val="00320918"/>
    <w:rsid w:val="00332DD2"/>
    <w:rsid w:val="00346FBC"/>
    <w:rsid w:val="00351F45"/>
    <w:rsid w:val="00353009"/>
    <w:rsid w:val="00367648"/>
    <w:rsid w:val="003863AC"/>
    <w:rsid w:val="0039324E"/>
    <w:rsid w:val="0039659F"/>
    <w:rsid w:val="003A0C09"/>
    <w:rsid w:val="003B626C"/>
    <w:rsid w:val="003C354F"/>
    <w:rsid w:val="003E4242"/>
    <w:rsid w:val="003E5A61"/>
    <w:rsid w:val="003F227F"/>
    <w:rsid w:val="00401578"/>
    <w:rsid w:val="00411B9F"/>
    <w:rsid w:val="00430280"/>
    <w:rsid w:val="00431BEC"/>
    <w:rsid w:val="00432D0F"/>
    <w:rsid w:val="00434292"/>
    <w:rsid w:val="00445610"/>
    <w:rsid w:val="004754F6"/>
    <w:rsid w:val="00481629"/>
    <w:rsid w:val="00483D37"/>
    <w:rsid w:val="004907ED"/>
    <w:rsid w:val="004914F9"/>
    <w:rsid w:val="004A3461"/>
    <w:rsid w:val="004C7797"/>
    <w:rsid w:val="004D7EE3"/>
    <w:rsid w:val="004F4315"/>
    <w:rsid w:val="004F689D"/>
    <w:rsid w:val="0050027E"/>
    <w:rsid w:val="00542A54"/>
    <w:rsid w:val="0057502E"/>
    <w:rsid w:val="00575768"/>
    <w:rsid w:val="00591297"/>
    <w:rsid w:val="00593B1F"/>
    <w:rsid w:val="005A7987"/>
    <w:rsid w:val="005F298F"/>
    <w:rsid w:val="005F7A33"/>
    <w:rsid w:val="00610702"/>
    <w:rsid w:val="00625B04"/>
    <w:rsid w:val="00641F31"/>
    <w:rsid w:val="00652FC3"/>
    <w:rsid w:val="00670AC3"/>
    <w:rsid w:val="00671108"/>
    <w:rsid w:val="006716CE"/>
    <w:rsid w:val="006763AE"/>
    <w:rsid w:val="006854DF"/>
    <w:rsid w:val="006B76B5"/>
    <w:rsid w:val="006D160A"/>
    <w:rsid w:val="006D19D3"/>
    <w:rsid w:val="00717C71"/>
    <w:rsid w:val="007261FE"/>
    <w:rsid w:val="00737273"/>
    <w:rsid w:val="00743676"/>
    <w:rsid w:val="00790186"/>
    <w:rsid w:val="00790921"/>
    <w:rsid w:val="007A74E4"/>
    <w:rsid w:val="007B01BF"/>
    <w:rsid w:val="007B3485"/>
    <w:rsid w:val="007C3E88"/>
    <w:rsid w:val="007D168F"/>
    <w:rsid w:val="007E5493"/>
    <w:rsid w:val="007F4ED3"/>
    <w:rsid w:val="00803943"/>
    <w:rsid w:val="0084562E"/>
    <w:rsid w:val="00845664"/>
    <w:rsid w:val="00880A92"/>
    <w:rsid w:val="008B109A"/>
    <w:rsid w:val="008B62FD"/>
    <w:rsid w:val="009252D9"/>
    <w:rsid w:val="00932B07"/>
    <w:rsid w:val="00954B23"/>
    <w:rsid w:val="00955C30"/>
    <w:rsid w:val="009D14A9"/>
    <w:rsid w:val="009D2B69"/>
    <w:rsid w:val="009F2098"/>
    <w:rsid w:val="00A35291"/>
    <w:rsid w:val="00A37FAA"/>
    <w:rsid w:val="00A45616"/>
    <w:rsid w:val="00A46665"/>
    <w:rsid w:val="00A57974"/>
    <w:rsid w:val="00AC1F23"/>
    <w:rsid w:val="00AF1DF7"/>
    <w:rsid w:val="00AF317B"/>
    <w:rsid w:val="00AF7BB2"/>
    <w:rsid w:val="00B2292F"/>
    <w:rsid w:val="00B42EDC"/>
    <w:rsid w:val="00B53AB2"/>
    <w:rsid w:val="00B72889"/>
    <w:rsid w:val="00B76588"/>
    <w:rsid w:val="00B84290"/>
    <w:rsid w:val="00B92EE6"/>
    <w:rsid w:val="00B95EBC"/>
    <w:rsid w:val="00B96EA2"/>
    <w:rsid w:val="00BA275A"/>
    <w:rsid w:val="00BD300D"/>
    <w:rsid w:val="00BF1DB6"/>
    <w:rsid w:val="00C44C9A"/>
    <w:rsid w:val="00C51C07"/>
    <w:rsid w:val="00C53398"/>
    <w:rsid w:val="00C83216"/>
    <w:rsid w:val="00C84F07"/>
    <w:rsid w:val="00C860AB"/>
    <w:rsid w:val="00C953DC"/>
    <w:rsid w:val="00CA619C"/>
    <w:rsid w:val="00CE7179"/>
    <w:rsid w:val="00CF76B0"/>
    <w:rsid w:val="00D239C9"/>
    <w:rsid w:val="00D24018"/>
    <w:rsid w:val="00D27168"/>
    <w:rsid w:val="00D300DF"/>
    <w:rsid w:val="00D56381"/>
    <w:rsid w:val="00D80D75"/>
    <w:rsid w:val="00D86F8C"/>
    <w:rsid w:val="00DB664F"/>
    <w:rsid w:val="00DD100B"/>
    <w:rsid w:val="00DE140A"/>
    <w:rsid w:val="00E27FB1"/>
    <w:rsid w:val="00E32CC9"/>
    <w:rsid w:val="00E4101F"/>
    <w:rsid w:val="00E516D6"/>
    <w:rsid w:val="00EA07F6"/>
    <w:rsid w:val="00EA4513"/>
    <w:rsid w:val="00EB36AF"/>
    <w:rsid w:val="00EC26F4"/>
    <w:rsid w:val="00EC3615"/>
    <w:rsid w:val="00EC445A"/>
    <w:rsid w:val="00EE3881"/>
    <w:rsid w:val="00EE5F5B"/>
    <w:rsid w:val="00F02BEB"/>
    <w:rsid w:val="00F40F13"/>
    <w:rsid w:val="00F50CC7"/>
    <w:rsid w:val="00F5217C"/>
    <w:rsid w:val="00F600C0"/>
    <w:rsid w:val="00F6023A"/>
    <w:rsid w:val="00F8009D"/>
    <w:rsid w:val="00FA3273"/>
    <w:rsid w:val="00FB0884"/>
    <w:rsid w:val="00FB7D42"/>
    <w:rsid w:val="00FF25A8"/>
    <w:rsid w:val="1BD771F8"/>
    <w:rsid w:val="3ED57A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qFormat="1" w:unhideWhenUsed="0" w:uiPriority="0" w:semiHidden="0"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iPriority="99" w:semiHidden="0" w:name="Body Text First Indent"/>
    <w:lsdException w:qFormat="1" w:uiPriority="99"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0">
    <w:name w:val="Default Paragraph Font"/>
    <w:semiHidden/>
    <w:unhideWhenUsed/>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Body Text First Indent"/>
    <w:basedOn w:val="3"/>
    <w:next w:val="4"/>
    <w:unhideWhenUsed/>
    <w:qFormat/>
    <w:uiPriority w:val="99"/>
    <w:pPr>
      <w:ind w:firstLine="420" w:firstLineChars="100"/>
    </w:pPr>
    <w:rPr>
      <w:rFonts w:ascii="Times New Roman" w:hAnsi="Times New Roman" w:cs="Times New Roman"/>
      <w:szCs w:val="24"/>
    </w:rPr>
  </w:style>
  <w:style w:type="paragraph" w:styleId="3">
    <w:name w:val="Body Text"/>
    <w:basedOn w:val="1"/>
    <w:next w:val="1"/>
    <w:qFormat/>
    <w:uiPriority w:val="0"/>
    <w:pPr>
      <w:spacing w:after="120"/>
    </w:pPr>
  </w:style>
  <w:style w:type="paragraph" w:styleId="4">
    <w:name w:val="Body Text First Indent 2"/>
    <w:basedOn w:val="5"/>
    <w:next w:val="1"/>
    <w:unhideWhenUsed/>
    <w:qFormat/>
    <w:uiPriority w:val="99"/>
    <w:pPr>
      <w:ind w:firstLine="420"/>
    </w:pPr>
    <w:rPr>
      <w:rFonts w:cs="Times New Roman"/>
    </w:rPr>
  </w:style>
  <w:style w:type="paragraph" w:styleId="5">
    <w:name w:val="Body Text Indent"/>
    <w:basedOn w:val="1"/>
    <w:next w:val="6"/>
    <w:qFormat/>
    <w:uiPriority w:val="0"/>
    <w:pPr>
      <w:spacing w:after="120" w:afterLines="0"/>
      <w:ind w:left="420" w:leftChars="200"/>
    </w:pPr>
    <w:rPr>
      <w:kern w:val="2"/>
      <w:sz w:val="21"/>
      <w:szCs w:val="24"/>
    </w:rPr>
  </w:style>
  <w:style w:type="paragraph" w:styleId="6">
    <w:name w:val="envelope return"/>
    <w:basedOn w:val="1"/>
    <w:qFormat/>
    <w:uiPriority w:val="0"/>
    <w:pPr>
      <w:snapToGrid w:val="0"/>
    </w:pPr>
    <w:rPr>
      <w:rFonts w:ascii="Arial" w:hAnsi="Arial" w:eastAsia="宋体" w:cs="Times New Roman"/>
    </w:rPr>
  </w:style>
  <w:style w:type="paragraph" w:styleId="7">
    <w:name w:val="footer"/>
    <w:basedOn w:val="1"/>
    <w:link w:val="12"/>
    <w:unhideWhenUsed/>
    <w:qFormat/>
    <w:uiPriority w:val="99"/>
    <w:pPr>
      <w:tabs>
        <w:tab w:val="center" w:pos="4153"/>
        <w:tab w:val="right" w:pos="8306"/>
      </w:tabs>
      <w:snapToGrid w:val="0"/>
      <w:jc w:val="left"/>
    </w:pPr>
    <w:rPr>
      <w:sz w:val="18"/>
      <w:szCs w:val="18"/>
    </w:rPr>
  </w:style>
  <w:style w:type="paragraph" w:styleId="8">
    <w:name w:val="header"/>
    <w:basedOn w:val="1"/>
    <w:link w:val="11"/>
    <w:semiHidden/>
    <w:unhideWhenUsed/>
    <w:uiPriority w:val="99"/>
    <w:pPr>
      <w:pBdr>
        <w:bottom w:val="single" w:color="auto" w:sz="6" w:space="1"/>
      </w:pBdr>
      <w:tabs>
        <w:tab w:val="center" w:pos="4153"/>
        <w:tab w:val="right" w:pos="8306"/>
      </w:tabs>
      <w:snapToGrid w:val="0"/>
      <w:jc w:val="center"/>
    </w:pPr>
    <w:rPr>
      <w:sz w:val="18"/>
      <w:szCs w:val="18"/>
    </w:rPr>
  </w:style>
  <w:style w:type="character" w:customStyle="1" w:styleId="11">
    <w:name w:val="页眉 Char"/>
    <w:basedOn w:val="10"/>
    <w:link w:val="8"/>
    <w:semiHidden/>
    <w:qFormat/>
    <w:uiPriority w:val="99"/>
    <w:rPr>
      <w:sz w:val="18"/>
      <w:szCs w:val="18"/>
    </w:rPr>
  </w:style>
  <w:style w:type="character" w:customStyle="1" w:styleId="12">
    <w:name w:val="页脚 Char"/>
    <w:basedOn w:val="10"/>
    <w:link w:val="7"/>
    <w:uiPriority w:val="99"/>
    <w:rPr>
      <w:sz w:val="18"/>
      <w:szCs w:val="18"/>
    </w:rPr>
  </w:style>
  <w:style w:type="paragraph" w:styleId="13">
    <w:name w:val="No Spacing"/>
    <w:qFormat/>
    <w:uiPriority w:val="0"/>
    <w:pPr>
      <w:widowControl w:val="0"/>
      <w:jc w:val="both"/>
    </w:pPr>
    <w:rPr>
      <w:rFonts w:ascii="Times New Roman" w:hAnsi="Times New Roman" w:eastAsia="宋体" w:cs="Times New Roman"/>
      <w:kern w:val="2"/>
      <w:sz w:val="21"/>
      <w:szCs w:val="21"/>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13</Pages>
  <Words>7502</Words>
  <Characters>7568</Characters>
  <Lines>54</Lines>
  <Paragraphs>15</Paragraphs>
  <TotalTime>3</TotalTime>
  <ScaleCrop>false</ScaleCrop>
  <LinksUpToDate>false</LinksUpToDate>
  <CharactersWithSpaces>7625</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2024-04-03T07:06:00Z</dcterms:created>
  <dc:creator>PC</dc:creator>
  <cp:lastModifiedBy>Administrator</cp:lastModifiedBy>
  <cp:lastPrinted>2024-04-16T06:11:00Z</cp:lastPrinted>
  <dcterms:modified xsi:type="dcterms:W3CDTF">2024-06-28T07:18:17Z</dcterms:modified>
  <cp:revision>100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5426A53618BB419293AA244B65257DBB_12</vt:lpwstr>
  </property>
</Properties>
</file>