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1"/>
        <w:keepNext w:val="0"/>
        <w:keepLines w:val="0"/>
        <w:pageBreakBefore w:val="0"/>
        <w:widowControl w:val="0"/>
        <w:tabs>
          <w:tab w:val="left" w:pos="720"/>
          <w:tab w:val="left" w:pos="3822"/>
        </w:tabs>
        <w:kinsoku/>
        <w:wordWrap/>
        <w:overflowPunct/>
        <w:topLinePunct w:val="0"/>
        <w:autoSpaceDE/>
        <w:autoSpaceDN/>
        <w:bidi w:val="0"/>
        <w:adjustRightInd w:val="0"/>
        <w:snapToGrid w:val="0"/>
        <w:spacing w:line="58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rPr>
        <w:t>中共安阳市</w:t>
      </w:r>
      <w:r>
        <w:rPr>
          <w:rFonts w:hint="eastAsia" w:ascii="方正小标宋简体" w:hAnsi="方正小标宋简体" w:eastAsia="方正小标宋简体" w:cs="方正小标宋简体"/>
          <w:sz w:val="44"/>
          <w:szCs w:val="44"/>
          <w:lang w:eastAsia="zh-CN"/>
        </w:rPr>
        <w:t>龙安区教育局党组</w:t>
      </w:r>
    </w:p>
    <w:p>
      <w:pPr>
        <w:spacing w:line="600" w:lineRule="exact"/>
        <w:jc w:val="center"/>
        <w:rPr>
          <w:rFonts w:hint="eastAsia" w:ascii="方正小标宋简体" w:eastAsia="方正小标宋简体"/>
          <w:sz w:val="44"/>
          <w:szCs w:val="44"/>
        </w:rPr>
      </w:pPr>
      <w:r>
        <w:rPr>
          <w:rFonts w:hint="eastAsia" w:ascii="方正小标宋简体" w:hAnsi="方正小标宋简体" w:eastAsia="方正小标宋简体" w:cs="方正小标宋简体"/>
          <w:sz w:val="44"/>
          <w:szCs w:val="44"/>
        </w:rPr>
        <w:t>关于巡察</w:t>
      </w:r>
      <w:r>
        <w:rPr>
          <w:rFonts w:hint="eastAsia" w:ascii="方正小标宋简体" w:hAnsi="方正小标宋简体" w:eastAsia="方正小标宋简体" w:cs="方正小标宋简体"/>
          <w:sz w:val="44"/>
          <w:szCs w:val="44"/>
          <w:lang w:val="en-US" w:eastAsia="zh-CN"/>
        </w:rPr>
        <w:t>整改情况的通报</w:t>
      </w:r>
    </w:p>
    <w:p>
      <w:pPr>
        <w:spacing w:line="600" w:lineRule="exact"/>
        <w:rPr>
          <w:rFonts w:ascii="仿宋_GB2312" w:eastAsia="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eastAsia="仿宋_GB2312"/>
          <w:sz w:val="32"/>
          <w:szCs w:val="32"/>
        </w:rPr>
        <w:t>根据区委统一安排部署，2023年7月26日至2023年9月22日</w:t>
      </w:r>
      <w:r>
        <w:rPr>
          <w:rFonts w:hint="eastAsia" w:ascii="仿宋_GB2312" w:eastAsia="仿宋_GB2312"/>
          <w:sz w:val="32"/>
          <w:szCs w:val="32"/>
          <w:lang w:eastAsia="zh-CN"/>
        </w:rPr>
        <w:t>，</w:t>
      </w:r>
      <w:r>
        <w:rPr>
          <w:rFonts w:hint="eastAsia" w:ascii="仿宋_GB2312" w:eastAsia="仿宋_GB2312"/>
          <w:sz w:val="32"/>
          <w:szCs w:val="32"/>
        </w:rPr>
        <w:t>区委第二巡察组对</w:t>
      </w:r>
      <w:r>
        <w:rPr>
          <w:rFonts w:hint="eastAsia" w:ascii="仿宋_GB2312" w:eastAsia="仿宋_GB2312"/>
          <w:sz w:val="32"/>
          <w:szCs w:val="32"/>
          <w:lang w:eastAsia="zh-CN"/>
        </w:rPr>
        <w:t>区教育局</w:t>
      </w:r>
      <w:r>
        <w:rPr>
          <w:rFonts w:hint="eastAsia" w:ascii="仿宋_GB2312" w:eastAsia="仿宋_GB2312"/>
          <w:sz w:val="32"/>
          <w:szCs w:val="32"/>
        </w:rPr>
        <w:t>开展了常规巡察工作。2023年12月26日，区委巡察组</w:t>
      </w:r>
      <w:r>
        <w:rPr>
          <w:rFonts w:hint="eastAsia" w:ascii="仿宋_GB2312" w:eastAsia="仿宋_GB2312"/>
          <w:sz w:val="32"/>
          <w:szCs w:val="32"/>
          <w:lang w:eastAsia="zh-CN"/>
        </w:rPr>
        <w:t>向</w:t>
      </w:r>
      <w:r>
        <w:rPr>
          <w:rFonts w:hint="eastAsia" w:ascii="仿宋_GB2312" w:eastAsia="仿宋_GB2312"/>
          <w:sz w:val="32"/>
          <w:szCs w:val="32"/>
        </w:rPr>
        <w:t>区教育局反馈</w:t>
      </w:r>
      <w:r>
        <w:rPr>
          <w:rFonts w:hint="eastAsia" w:ascii="仿宋_GB2312" w:eastAsia="仿宋_GB2312"/>
          <w:sz w:val="32"/>
          <w:szCs w:val="32"/>
          <w:lang w:eastAsia="zh-CN"/>
        </w:rPr>
        <w:t>了巡察</w:t>
      </w:r>
      <w:r>
        <w:rPr>
          <w:rFonts w:hint="eastAsia" w:ascii="仿宋_GB2312" w:eastAsia="仿宋_GB2312"/>
          <w:sz w:val="32"/>
          <w:szCs w:val="32"/>
        </w:rPr>
        <w:t>意见。</w:t>
      </w:r>
      <w:r>
        <w:rPr>
          <w:rFonts w:hint="eastAsia" w:ascii="仿宋_GB2312" w:hAnsi="仿宋_GB2312" w:eastAsia="仿宋_GB2312" w:cs="仿宋_GB2312"/>
          <w:sz w:val="32"/>
          <w:szCs w:val="32"/>
          <w:lang w:val="en-US" w:eastAsia="zh-CN"/>
        </w:rPr>
        <w:t>按照《中国共产党巡视工作条例》有关规定，现将巡察整改情况予以公布。</w:t>
      </w:r>
    </w:p>
    <w:p>
      <w:pPr>
        <w:spacing w:line="600" w:lineRule="exact"/>
        <w:ind w:firstLine="645"/>
        <w:rPr>
          <w:rFonts w:ascii="黑体" w:hAnsi="黑体" w:eastAsia="黑体"/>
          <w:sz w:val="32"/>
          <w:szCs w:val="32"/>
        </w:rPr>
      </w:pPr>
      <w:r>
        <w:rPr>
          <w:rFonts w:hint="eastAsia" w:ascii="黑体" w:hAnsi="黑体" w:eastAsia="黑体"/>
          <w:sz w:val="32"/>
          <w:szCs w:val="32"/>
        </w:rPr>
        <w:t>一、高度重视，迅速部署。</w:t>
      </w:r>
    </w:p>
    <w:p>
      <w:pPr>
        <w:spacing w:line="600" w:lineRule="exact"/>
        <w:ind w:firstLine="645"/>
        <w:rPr>
          <w:rFonts w:ascii="仿宋_GB2312" w:eastAsia="仿宋_GB2312"/>
          <w:sz w:val="32"/>
          <w:szCs w:val="32"/>
        </w:rPr>
      </w:pPr>
      <w:r>
        <w:rPr>
          <w:rFonts w:hint="eastAsia" w:ascii="仿宋_GB2312" w:eastAsia="仿宋_GB2312"/>
          <w:sz w:val="32"/>
          <w:szCs w:val="32"/>
        </w:rPr>
        <w:t>龙安区教育局把区委专项巡察反馈意见的整改落实作为一项重要政治任务来抓，要求全系统上下深刻领会把握区委专项巡察反馈意见精神，研究部署整改落实工作，尽全力抓紧抓好。一是召开党组会议专题学习巡察反馈意见，认真分析，深刻反思。第一时间成立了区教育局专项巡察整改领导小组，教育局党组书记、局长任组长，局班子成员任副组长，教育局机关各股室股室长、各乡(镇、学区)中心校校长、区直学校(幼儿园)校长(园长)为成员。领导小组下设办公室。二是严格按照区委专项巡察反馈意见，研究具体整改方案，拟定整改责任清单，建立工作台账，实行分类盘点销号。三是召开由局机关各股室负责人参加的中层干部会，通报区委专项巡察反馈意见，专题学习巡察整改方案以及责任清单，促使全体干部进一步深刻剖析落实责任，狠抓整改，注重实效。</w:t>
      </w:r>
    </w:p>
    <w:p>
      <w:pPr>
        <w:spacing w:line="600" w:lineRule="exact"/>
        <w:ind w:firstLine="645"/>
        <w:rPr>
          <w:rFonts w:ascii="黑体" w:hAnsi="黑体" w:eastAsia="黑体"/>
          <w:sz w:val="32"/>
          <w:szCs w:val="32"/>
        </w:rPr>
      </w:pPr>
      <w:r>
        <w:rPr>
          <w:rFonts w:hint="eastAsia" w:ascii="黑体" w:hAnsi="黑体" w:eastAsia="黑体"/>
          <w:sz w:val="32"/>
          <w:szCs w:val="32"/>
        </w:rPr>
        <w:t>二、正视问题，立行立改。</w:t>
      </w:r>
    </w:p>
    <w:p>
      <w:pPr>
        <w:spacing w:line="600" w:lineRule="exact"/>
        <w:ind w:firstLine="645"/>
        <w:rPr>
          <w:rFonts w:ascii="仿宋_GB2312" w:eastAsia="仿宋_GB2312"/>
          <w:sz w:val="32"/>
          <w:szCs w:val="32"/>
        </w:rPr>
      </w:pPr>
      <w:r>
        <w:rPr>
          <w:rFonts w:hint="eastAsia" w:ascii="仿宋_GB2312" w:eastAsia="仿宋_GB2312"/>
          <w:sz w:val="32"/>
          <w:szCs w:val="32"/>
        </w:rPr>
        <w:t>围绕区委专项巡察反馈意见要求，区教育局以压实“两个责任”为核心，以完善制度建设为抓手，以严格干部管理、严肃财经制度为重点，全面开展巡察整改工作，着力强化干部党风廉政、作风效能教育，切实加大监督检查、案件查处、失责追究力度，努力营造风清气正的良好政治生态。</w:t>
      </w:r>
    </w:p>
    <w:p>
      <w:pPr>
        <w:ind w:firstLine="640" w:firstLineChars="200"/>
        <w:rPr>
          <w:rFonts w:ascii="楷体_GB2312" w:eastAsia="楷体_GB2312"/>
          <w:sz w:val="32"/>
          <w:szCs w:val="32"/>
        </w:rPr>
      </w:pPr>
      <w:r>
        <w:rPr>
          <w:rFonts w:hint="eastAsia" w:ascii="楷体_GB2312" w:eastAsia="楷体_GB2312"/>
          <w:sz w:val="32"/>
          <w:szCs w:val="32"/>
        </w:rPr>
        <w:t>（一）聚焦党中央各项决策部署在基层落实情况</w:t>
      </w:r>
    </w:p>
    <w:p>
      <w:pPr>
        <w:ind w:firstLine="640" w:firstLineChars="200"/>
        <w:rPr>
          <w:rFonts w:ascii="楷体_GB2312" w:eastAsia="楷体_GB2312"/>
          <w:sz w:val="32"/>
          <w:szCs w:val="32"/>
        </w:rPr>
      </w:pPr>
      <w:r>
        <w:rPr>
          <w:rFonts w:hint="eastAsia" w:ascii="楷体_GB2312" w:eastAsia="楷体_GB2312"/>
          <w:sz w:val="32"/>
          <w:szCs w:val="32"/>
        </w:rPr>
        <w:t>1.政治统领作用发挥不充分</w:t>
      </w:r>
    </w:p>
    <w:p>
      <w:pPr>
        <w:ind w:firstLine="640" w:firstLineChars="200"/>
        <w:rPr>
          <w:rFonts w:hint="eastAsia" w:ascii="楷体_GB2312" w:eastAsia="楷体_GB2312"/>
          <w:sz w:val="32"/>
          <w:szCs w:val="32"/>
        </w:rPr>
      </w:pPr>
      <w:r>
        <w:rPr>
          <w:rFonts w:hint="eastAsia" w:ascii="楷体_GB2312" w:eastAsia="楷体_GB2312"/>
          <w:sz w:val="32"/>
          <w:szCs w:val="32"/>
        </w:rPr>
        <w:t>（1）学习贯彻习近平新时代中国特色社会主义思想和党的二十大精神流于形式。</w:t>
      </w:r>
    </w:p>
    <w:p>
      <w:pPr>
        <w:ind w:firstLine="640" w:firstLineChars="200"/>
        <w:rPr>
          <w:rFonts w:ascii="仿宋_GB2312" w:eastAsia="仿宋_GB2312"/>
          <w:sz w:val="32"/>
          <w:szCs w:val="32"/>
        </w:rPr>
      </w:pPr>
      <w:r>
        <w:rPr>
          <w:rFonts w:hint="eastAsia" w:ascii="黑体" w:hAnsi="黑体" w:eastAsia="黑体"/>
          <w:sz w:val="32"/>
          <w:szCs w:val="32"/>
        </w:rPr>
        <w:t>整改情况：</w:t>
      </w:r>
      <w:r>
        <w:rPr>
          <w:rFonts w:hint="eastAsia" w:ascii="仿宋_GB2312" w:eastAsia="仿宋_GB2312"/>
          <w:sz w:val="32"/>
          <w:szCs w:val="32"/>
        </w:rPr>
        <w:t>一是宣讲成员开展“习近平新时代中国特色社会主义思想和党的二十大精神”专场宣讲5场。各校结合实际工作，建立学习台账，教育局下发3000余本主题教育学习心得本，要求教师认真学习并撰写学习心得；二是建立制度，严格落实各项学习制度，规范“第一议题”记录形式；每月开展中心组理论学习，各科级干部有学习本，教育局有学习记录本；每周二固定开展“周二学习日”，建立教育局周二学习记录本，有专人记录；三是加强监督检查。教育局召开专题会议，会后对6个中心校，5所局直学校，2所幼儿园进行督导检查。</w:t>
      </w:r>
    </w:p>
    <w:p>
      <w:pPr>
        <w:numPr>
          <w:ilvl w:val="0"/>
          <w:numId w:val="1"/>
        </w:numPr>
        <w:ind w:firstLine="640" w:firstLineChars="200"/>
        <w:rPr>
          <w:rFonts w:hint="eastAsia" w:ascii="楷体_GB2312" w:eastAsia="楷体_GB2312"/>
          <w:sz w:val="32"/>
          <w:szCs w:val="32"/>
        </w:rPr>
      </w:pPr>
      <w:r>
        <w:rPr>
          <w:rFonts w:hint="eastAsia" w:ascii="楷体_GB2312" w:eastAsia="楷体_GB2312"/>
          <w:sz w:val="32"/>
          <w:szCs w:val="32"/>
        </w:rPr>
        <w:t>贯彻落实习近平总书记关于本系统本领域工作重要讲话和指示批示精神不到位，学习传达不及时。</w:t>
      </w:r>
    </w:p>
    <w:p>
      <w:pPr>
        <w:numPr>
          <w:ilvl w:val="0"/>
          <w:numId w:val="0"/>
        </w:numPr>
        <w:ind w:firstLine="640" w:firstLineChars="200"/>
        <w:rPr>
          <w:rFonts w:ascii="仿宋_GB2312" w:eastAsia="仿宋_GB2312"/>
          <w:sz w:val="32"/>
          <w:szCs w:val="32"/>
        </w:rPr>
      </w:pPr>
      <w:r>
        <w:rPr>
          <w:rFonts w:hint="eastAsia" w:ascii="黑体" w:hAnsi="黑体" w:eastAsia="黑体"/>
          <w:sz w:val="32"/>
          <w:szCs w:val="32"/>
        </w:rPr>
        <w:t>整改情况：</w:t>
      </w:r>
      <w:r>
        <w:rPr>
          <w:rFonts w:hint="eastAsia" w:ascii="仿宋_GB2312" w:eastAsia="仿宋_GB2312"/>
          <w:sz w:val="32"/>
          <w:szCs w:val="32"/>
        </w:rPr>
        <w:t>一是通过</w:t>
      </w:r>
      <w:r>
        <w:rPr>
          <w:rFonts w:ascii="仿宋_GB2312" w:eastAsia="仿宋_GB2312"/>
          <w:sz w:val="32"/>
          <w:szCs w:val="32"/>
        </w:rPr>
        <w:t>开展自查自纠，</w:t>
      </w:r>
      <w:r>
        <w:rPr>
          <w:rFonts w:hint="eastAsia" w:ascii="仿宋_GB2312" w:eastAsia="仿宋_GB2312"/>
          <w:sz w:val="32"/>
          <w:szCs w:val="32"/>
        </w:rPr>
        <w:t>已</w:t>
      </w:r>
      <w:r>
        <w:rPr>
          <w:rFonts w:ascii="仿宋_GB2312" w:eastAsia="仿宋_GB2312"/>
          <w:sz w:val="32"/>
          <w:szCs w:val="32"/>
        </w:rPr>
        <w:t>召开2</w:t>
      </w:r>
      <w:r>
        <w:rPr>
          <w:rFonts w:hint="eastAsia" w:ascii="仿宋_GB2312" w:eastAsia="仿宋_GB2312"/>
          <w:sz w:val="32"/>
          <w:szCs w:val="32"/>
        </w:rPr>
        <w:t>次</w:t>
      </w:r>
      <w:r>
        <w:rPr>
          <w:rFonts w:ascii="仿宋_GB2312" w:eastAsia="仿宋_GB2312"/>
          <w:sz w:val="32"/>
          <w:szCs w:val="32"/>
        </w:rPr>
        <w:t>专题民主生活会，严格贯彻落实习近平总书记关于教育系统工作重要讲话和指示批示精神</w:t>
      </w:r>
      <w:r>
        <w:rPr>
          <w:rFonts w:hint="eastAsia" w:ascii="仿宋_GB2312" w:eastAsia="仿宋_GB2312"/>
          <w:sz w:val="32"/>
          <w:szCs w:val="32"/>
        </w:rPr>
        <w:t>。二是</w:t>
      </w:r>
      <w:r>
        <w:rPr>
          <w:rFonts w:ascii="仿宋_GB2312" w:eastAsia="仿宋_GB2312"/>
          <w:sz w:val="32"/>
          <w:szCs w:val="32"/>
        </w:rPr>
        <w:t>班子和班子成员深入进行对照检查，在民主议事决策、内部监督管控、基层党建引领等方面查摆问题</w:t>
      </w:r>
      <w:r>
        <w:rPr>
          <w:rFonts w:hint="eastAsia" w:ascii="仿宋_GB2312" w:eastAsia="仿宋_GB2312"/>
          <w:sz w:val="32"/>
          <w:szCs w:val="32"/>
        </w:rPr>
        <w:t>17个</w:t>
      </w:r>
      <w:r>
        <w:rPr>
          <w:rFonts w:ascii="仿宋_GB2312" w:eastAsia="仿宋_GB2312"/>
          <w:sz w:val="32"/>
          <w:szCs w:val="32"/>
        </w:rPr>
        <w:t>，</w:t>
      </w:r>
      <w:r>
        <w:rPr>
          <w:rFonts w:hint="eastAsia" w:ascii="仿宋_GB2312" w:eastAsia="仿宋_GB2312"/>
          <w:sz w:val="32"/>
          <w:szCs w:val="32"/>
        </w:rPr>
        <w:t>并</w:t>
      </w:r>
      <w:r>
        <w:rPr>
          <w:rFonts w:ascii="仿宋_GB2312" w:eastAsia="仿宋_GB2312"/>
          <w:sz w:val="32"/>
          <w:szCs w:val="32"/>
        </w:rPr>
        <w:t>及时传达落实</w:t>
      </w:r>
      <w:r>
        <w:rPr>
          <w:rFonts w:hint="eastAsia" w:ascii="仿宋_GB2312" w:eastAsia="仿宋_GB2312"/>
          <w:sz w:val="32"/>
          <w:szCs w:val="32"/>
        </w:rPr>
        <w:t>；三是加强监督检查。通过</w:t>
      </w:r>
      <w:r>
        <w:rPr>
          <w:rFonts w:ascii="仿宋_GB2312" w:eastAsia="仿宋_GB2312"/>
          <w:sz w:val="32"/>
          <w:szCs w:val="32"/>
        </w:rPr>
        <w:t>对</w:t>
      </w:r>
      <w:r>
        <w:rPr>
          <w:rFonts w:hint="eastAsia" w:ascii="仿宋_GB2312" w:eastAsia="仿宋_GB2312"/>
          <w:sz w:val="32"/>
          <w:szCs w:val="32"/>
        </w:rPr>
        <w:t>6个中心校，5所局直学校，2所幼儿园</w:t>
      </w:r>
      <w:r>
        <w:rPr>
          <w:rFonts w:ascii="仿宋_GB2312" w:eastAsia="仿宋_GB2312"/>
          <w:sz w:val="32"/>
          <w:szCs w:val="32"/>
        </w:rPr>
        <w:t>学校督导检查，基层支部</w:t>
      </w:r>
      <w:r>
        <w:rPr>
          <w:rFonts w:hint="eastAsia" w:ascii="仿宋_GB2312" w:eastAsia="仿宋_GB2312"/>
          <w:sz w:val="32"/>
          <w:szCs w:val="32"/>
        </w:rPr>
        <w:t>在</w:t>
      </w:r>
      <w:r>
        <w:rPr>
          <w:rFonts w:ascii="仿宋_GB2312" w:eastAsia="仿宋_GB2312"/>
          <w:sz w:val="32"/>
          <w:szCs w:val="32"/>
        </w:rPr>
        <w:t>落实第一议题、贯彻好各项教育工作</w:t>
      </w:r>
      <w:r>
        <w:rPr>
          <w:rFonts w:hint="eastAsia" w:ascii="仿宋_GB2312" w:eastAsia="仿宋_GB2312"/>
          <w:sz w:val="32"/>
          <w:szCs w:val="32"/>
        </w:rPr>
        <w:t>、</w:t>
      </w:r>
      <w:r>
        <w:rPr>
          <w:rFonts w:ascii="仿宋_GB2312" w:eastAsia="仿宋_GB2312"/>
          <w:sz w:val="32"/>
          <w:szCs w:val="32"/>
        </w:rPr>
        <w:t>会议记录的质量和完整性</w:t>
      </w:r>
      <w:r>
        <w:rPr>
          <w:rFonts w:hint="eastAsia" w:ascii="仿宋_GB2312" w:eastAsia="仿宋_GB2312"/>
          <w:sz w:val="32"/>
          <w:szCs w:val="32"/>
        </w:rPr>
        <w:t>方面</w:t>
      </w:r>
      <w:r>
        <w:rPr>
          <w:rFonts w:ascii="仿宋_GB2312" w:eastAsia="仿宋_GB2312"/>
          <w:sz w:val="32"/>
          <w:szCs w:val="32"/>
        </w:rPr>
        <w:t>有很大提高。</w:t>
      </w:r>
    </w:p>
    <w:p>
      <w:pPr>
        <w:numPr>
          <w:ilvl w:val="0"/>
          <w:numId w:val="1"/>
        </w:numPr>
        <w:ind w:left="0" w:leftChars="0" w:firstLine="640" w:firstLineChars="200"/>
        <w:rPr>
          <w:rFonts w:ascii="仿宋_GB2312" w:hAnsi="黑体" w:eastAsia="仿宋_GB2312"/>
          <w:sz w:val="32"/>
          <w:szCs w:val="32"/>
        </w:rPr>
      </w:pPr>
      <w:r>
        <w:rPr>
          <w:rFonts w:hint="eastAsia" w:ascii="楷体_GB2312" w:eastAsia="楷体_GB2312"/>
          <w:sz w:val="32"/>
          <w:szCs w:val="32"/>
        </w:rPr>
        <w:t>意识形态责任制落实不严，履行主体责任不力。</w:t>
      </w:r>
    </w:p>
    <w:p>
      <w:pPr>
        <w:numPr>
          <w:ilvl w:val="0"/>
          <w:numId w:val="0"/>
        </w:num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一是局党组每半月召开一次意识形态工作会，研究意识形态工作，并及时做好记录。二是每月组织各乡镇学区定期召开意识形态工作研判会，分析本月本乡镇意识形态工作风险点。三是每月两次下校督导意识形态工作，发现问题，要求学校及时整改。四是教育局三次召开安全保密工作会，要求各校签订安全保密协议。</w:t>
      </w:r>
    </w:p>
    <w:p>
      <w:pPr>
        <w:widowControl/>
        <w:ind w:firstLine="640" w:firstLineChars="200"/>
        <w:jc w:val="left"/>
        <w:rPr>
          <w:rFonts w:ascii="楷体_GB2312" w:eastAsia="楷体_GB2312"/>
          <w:sz w:val="32"/>
          <w:szCs w:val="32"/>
        </w:rPr>
      </w:pPr>
      <w:r>
        <w:rPr>
          <w:rFonts w:hint="eastAsia" w:ascii="楷体_GB2312" w:eastAsia="楷体_GB2312"/>
          <w:sz w:val="32"/>
          <w:szCs w:val="32"/>
        </w:rPr>
        <w:t>2.以人民为中心理念树的不牢</w:t>
      </w:r>
    </w:p>
    <w:p>
      <w:pPr>
        <w:widowControl/>
        <w:ind w:firstLine="640" w:firstLineChars="200"/>
        <w:jc w:val="left"/>
        <w:rPr>
          <w:rFonts w:ascii="楷体_GB2312" w:eastAsia="楷体_GB2312"/>
          <w:sz w:val="32"/>
          <w:szCs w:val="32"/>
        </w:rPr>
      </w:pPr>
      <w:r>
        <w:rPr>
          <w:rFonts w:hint="eastAsia" w:ascii="楷体_GB2312" w:eastAsia="楷体_GB2312"/>
          <w:sz w:val="32"/>
          <w:szCs w:val="32"/>
        </w:rPr>
        <w:t>（4）在解决涉及群众利益问题时谋划不足，用力不够。</w:t>
      </w:r>
    </w:p>
    <w:p>
      <w:pPr>
        <w:ind w:firstLine="640" w:firstLineChars="200"/>
        <w:rPr>
          <w:rFonts w:ascii="仿宋_GB2312" w:hAnsi="仿宋_GB2312" w:eastAsia="仿宋_GB2312"/>
          <w:sz w:val="32"/>
          <w:szCs w:val="32"/>
        </w:rPr>
      </w:pPr>
      <w:r>
        <w:rPr>
          <w:rFonts w:hint="eastAsia" w:ascii="黑体" w:hAnsi="黑体" w:eastAsia="黑体"/>
          <w:sz w:val="32"/>
          <w:szCs w:val="32"/>
        </w:rPr>
        <w:t>整改情况：</w:t>
      </w:r>
      <w:r>
        <w:rPr>
          <w:rFonts w:hint="eastAsia" w:ascii="仿宋_GB2312" w:hAnsi="仿宋_GB2312" w:eastAsia="仿宋_GB2312"/>
          <w:sz w:val="32"/>
          <w:szCs w:val="32"/>
        </w:rPr>
        <w:t>一是组织力量在全区中小学、幼儿园开展规划前期摸底调研工作，采取实地调研，分别到城区、龙泉镇、马投涧镇、善应镇、彰武学区各个乡镇学区摸底调查、掌握各乡镇学校的地理位置、特点、学生生源，适龄儿童出生率等情况。二是结合教育事业综合统计年度报表，从数据中了解学校规模大小，生源趋势，取得学校建设规划的各类数据为招生工作奠定基础。三是征求各乡镇、学区中心校教育骨干的意见，汇总和反复论证得到有效建议。最后形成有数据支撑、科学详尽的撤点并校、学校建设方案《龙安区义务教育学校建设规划（2024-2028年）》，优化教育资源布局，避免建设资源浪费，群众上访等问题，满足群众就近入学需求。</w:t>
      </w:r>
    </w:p>
    <w:p>
      <w:pPr>
        <w:numPr>
          <w:ilvl w:val="0"/>
          <w:numId w:val="1"/>
        </w:numPr>
        <w:ind w:left="0" w:leftChars="0" w:firstLine="640" w:firstLineChars="200"/>
        <w:rPr>
          <w:rFonts w:hint="eastAsia" w:ascii="楷体_GB2312" w:hAnsi="仿宋_GB2312" w:eastAsia="楷体_GB2312" w:cs="Times New Roman"/>
          <w:sz w:val="32"/>
          <w:szCs w:val="32"/>
        </w:rPr>
      </w:pPr>
      <w:r>
        <w:rPr>
          <w:rFonts w:hint="eastAsia" w:ascii="楷体_GB2312" w:hAnsi="仿宋_GB2312" w:eastAsia="楷体_GB2312" w:cs="Times New Roman"/>
          <w:sz w:val="32"/>
          <w:szCs w:val="32"/>
        </w:rPr>
        <w:t>教研能力薄弱，不能满足教育发展需求。</w:t>
      </w:r>
    </w:p>
    <w:p>
      <w:pPr>
        <w:numPr>
          <w:ilvl w:val="0"/>
          <w:numId w:val="0"/>
        </w:numPr>
        <w:ind w:firstLine="640" w:firstLineChars="200"/>
        <w:rPr>
          <w:rFonts w:ascii="仿宋_GB2312" w:hAnsi="仿宋_GB2312" w:eastAsia="仿宋_GB2312" w:cs="仿宋_GB2312"/>
          <w:sz w:val="32"/>
          <w:szCs w:val="32"/>
          <w:lang w:bidi="ar"/>
        </w:rPr>
      </w:pPr>
      <w:r>
        <w:rPr>
          <w:rFonts w:hint="eastAsia" w:ascii="黑体" w:hAnsi="黑体" w:eastAsia="黑体"/>
          <w:sz w:val="32"/>
          <w:szCs w:val="32"/>
        </w:rPr>
        <w:t>整改情况：</w:t>
      </w:r>
      <w:r>
        <w:rPr>
          <w:rFonts w:hint="eastAsia" w:ascii="仿宋_GB2312" w:hAnsi="仿宋_GB2312" w:eastAsia="仿宋_GB2312" w:cs="仿宋_GB2312"/>
          <w:bCs/>
          <w:sz w:val="32"/>
          <w:szCs w:val="32"/>
        </w:rPr>
        <w:t>一是充实教研队伍，增加教研力量。</w:t>
      </w:r>
      <w:r>
        <w:rPr>
          <w:rFonts w:hint="eastAsia" w:ascii="仿宋_GB2312" w:hAnsi="仿宋_GB2312" w:eastAsia="仿宋_GB2312" w:cs="仿宋_GB2312"/>
          <w:bCs/>
          <w:sz w:val="32"/>
          <w:szCs w:val="32"/>
          <w:lang w:bidi="ar"/>
        </w:rPr>
        <w:t>先后聘任7位中高级老师来担任相关的教研工作，教研力量得到充实，教学研究能力得到提升。</w:t>
      </w:r>
      <w:r>
        <w:rPr>
          <w:rFonts w:hint="eastAsia" w:ascii="仿宋_GB2312" w:hAnsi="仿宋_GB2312" w:eastAsia="仿宋_GB2312" w:cs="仿宋_GB2312"/>
          <w:bCs/>
          <w:sz w:val="32"/>
          <w:szCs w:val="32"/>
        </w:rPr>
        <w:t>二是每周一召开固定教研例会，汇报本周工作和下周计划；每位教研员分包一所学校，定点听评常规课。三是积极开展教研活动，组织教师竞学（优质课观摩与新教师新课堂活动）；四是深耕细研新课标，以赛促学</w:t>
      </w:r>
      <w:r>
        <w:rPr>
          <w:rFonts w:hint="eastAsia" w:ascii="仿宋_GB2312" w:hAnsi="仿宋_GB2312" w:eastAsia="仿宋_GB2312" w:cs="仿宋_GB2312"/>
          <w:bCs/>
          <w:sz w:val="32"/>
          <w:szCs w:val="32"/>
          <w:lang w:bidi="ar"/>
        </w:rPr>
        <w:t>2023年，在我区承办的全市教研活动共10余次，参与教师将近800余人；</w:t>
      </w:r>
      <w:r>
        <w:rPr>
          <w:rFonts w:hint="eastAsia" w:ascii="仿宋_GB2312" w:hAnsi="仿宋_GB2312" w:eastAsia="仿宋_GB2312" w:cs="仿宋_GB2312"/>
          <w:bCs/>
          <w:sz w:val="32"/>
          <w:szCs w:val="32"/>
        </w:rPr>
        <w:t>五是采取多项措施改进工作方法，努力降低低分率。</w:t>
      </w:r>
      <w:r>
        <w:rPr>
          <w:rFonts w:hint="eastAsia" w:ascii="仿宋_GB2312" w:hAnsi="仿宋_GB2312" w:eastAsia="仿宋_GB2312" w:cs="仿宋_GB2312"/>
          <w:sz w:val="32"/>
          <w:szCs w:val="32"/>
          <w:lang w:bidi="ar"/>
        </w:rPr>
        <w:t>通过一年的努力2023年中招成绩出来，情况如下：</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9"/>
        <w:gridCol w:w="1821"/>
        <w:gridCol w:w="1626"/>
        <w:gridCol w:w="1822"/>
        <w:gridCol w:w="19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9"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年度</w:t>
            </w:r>
          </w:p>
        </w:tc>
        <w:tc>
          <w:tcPr>
            <w:tcW w:w="1821"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单位</w:t>
            </w:r>
          </w:p>
        </w:tc>
        <w:tc>
          <w:tcPr>
            <w:tcW w:w="1626"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考试人数</w:t>
            </w:r>
          </w:p>
        </w:tc>
        <w:tc>
          <w:tcPr>
            <w:tcW w:w="1822"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低分人数</w:t>
            </w:r>
          </w:p>
        </w:tc>
        <w:tc>
          <w:tcPr>
            <w:tcW w:w="1974"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低分率（%）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9" w:type="dxa"/>
            <w:vMerge w:val="restart"/>
            <w:vAlign w:val="center"/>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2022</w:t>
            </w:r>
          </w:p>
        </w:tc>
        <w:tc>
          <w:tcPr>
            <w:tcW w:w="1821"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全市</w:t>
            </w:r>
          </w:p>
        </w:tc>
        <w:tc>
          <w:tcPr>
            <w:tcW w:w="1626"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18803</w:t>
            </w:r>
          </w:p>
        </w:tc>
        <w:tc>
          <w:tcPr>
            <w:tcW w:w="1822"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3522</w:t>
            </w:r>
          </w:p>
        </w:tc>
        <w:tc>
          <w:tcPr>
            <w:tcW w:w="1974"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18.73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9" w:type="dxa"/>
            <w:vMerge w:val="continue"/>
            <w:vAlign w:val="center"/>
          </w:tcPr>
          <w:p>
            <w:pPr>
              <w:jc w:val="center"/>
              <w:rPr>
                <w:rFonts w:ascii="仿宋_GB2312" w:hAnsi="仿宋_GB2312" w:eastAsia="仿宋_GB2312" w:cs="仿宋_GB2312"/>
                <w:sz w:val="32"/>
                <w:szCs w:val="32"/>
                <w:lang w:bidi="ar"/>
              </w:rPr>
            </w:pPr>
          </w:p>
        </w:tc>
        <w:tc>
          <w:tcPr>
            <w:tcW w:w="1821"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龙安区</w:t>
            </w:r>
          </w:p>
        </w:tc>
        <w:tc>
          <w:tcPr>
            <w:tcW w:w="1626"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1486</w:t>
            </w:r>
          </w:p>
        </w:tc>
        <w:tc>
          <w:tcPr>
            <w:tcW w:w="1822"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667</w:t>
            </w:r>
          </w:p>
        </w:tc>
        <w:tc>
          <w:tcPr>
            <w:tcW w:w="1974"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44.89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9" w:type="dxa"/>
            <w:vMerge w:val="continue"/>
            <w:vAlign w:val="center"/>
          </w:tcPr>
          <w:p>
            <w:pPr>
              <w:jc w:val="center"/>
              <w:rPr>
                <w:rFonts w:ascii="仿宋_GB2312" w:hAnsi="仿宋_GB2312" w:eastAsia="仿宋_GB2312" w:cs="仿宋_GB2312"/>
                <w:sz w:val="32"/>
                <w:szCs w:val="32"/>
                <w:lang w:bidi="ar"/>
              </w:rPr>
            </w:pPr>
          </w:p>
        </w:tc>
        <w:tc>
          <w:tcPr>
            <w:tcW w:w="1821"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十四中</w:t>
            </w:r>
          </w:p>
        </w:tc>
        <w:tc>
          <w:tcPr>
            <w:tcW w:w="1626"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319</w:t>
            </w:r>
          </w:p>
        </w:tc>
        <w:tc>
          <w:tcPr>
            <w:tcW w:w="1822"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166</w:t>
            </w:r>
          </w:p>
        </w:tc>
        <w:tc>
          <w:tcPr>
            <w:tcW w:w="1974"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52.04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9" w:type="dxa"/>
            <w:vMerge w:val="continue"/>
            <w:vAlign w:val="center"/>
          </w:tcPr>
          <w:p>
            <w:pPr>
              <w:jc w:val="center"/>
              <w:rPr>
                <w:rFonts w:ascii="仿宋_GB2312" w:hAnsi="仿宋_GB2312" w:eastAsia="仿宋_GB2312" w:cs="仿宋_GB2312"/>
                <w:sz w:val="32"/>
                <w:szCs w:val="32"/>
                <w:lang w:bidi="ar"/>
              </w:rPr>
            </w:pPr>
          </w:p>
        </w:tc>
        <w:tc>
          <w:tcPr>
            <w:tcW w:w="1821"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马投涧一中</w:t>
            </w:r>
          </w:p>
        </w:tc>
        <w:tc>
          <w:tcPr>
            <w:tcW w:w="1626"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432</w:t>
            </w:r>
          </w:p>
        </w:tc>
        <w:tc>
          <w:tcPr>
            <w:tcW w:w="1822"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212</w:t>
            </w:r>
          </w:p>
        </w:tc>
        <w:tc>
          <w:tcPr>
            <w:tcW w:w="1974"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49.07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9" w:type="dxa"/>
            <w:vMerge w:val="restart"/>
            <w:vAlign w:val="center"/>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2023</w:t>
            </w:r>
          </w:p>
        </w:tc>
        <w:tc>
          <w:tcPr>
            <w:tcW w:w="1821"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全市</w:t>
            </w:r>
          </w:p>
        </w:tc>
        <w:tc>
          <w:tcPr>
            <w:tcW w:w="1626"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19641</w:t>
            </w:r>
          </w:p>
        </w:tc>
        <w:tc>
          <w:tcPr>
            <w:tcW w:w="1822"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1600</w:t>
            </w:r>
          </w:p>
        </w:tc>
        <w:tc>
          <w:tcPr>
            <w:tcW w:w="1974"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8.15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9" w:type="dxa"/>
            <w:vMerge w:val="continue"/>
          </w:tcPr>
          <w:p>
            <w:pPr>
              <w:jc w:val="center"/>
              <w:rPr>
                <w:rFonts w:ascii="仿宋_GB2312" w:hAnsi="仿宋_GB2312" w:eastAsia="仿宋_GB2312" w:cs="仿宋_GB2312"/>
                <w:sz w:val="32"/>
                <w:szCs w:val="32"/>
                <w:lang w:bidi="ar"/>
              </w:rPr>
            </w:pPr>
          </w:p>
        </w:tc>
        <w:tc>
          <w:tcPr>
            <w:tcW w:w="1821"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龙安区</w:t>
            </w:r>
          </w:p>
        </w:tc>
        <w:tc>
          <w:tcPr>
            <w:tcW w:w="1626"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1693</w:t>
            </w:r>
          </w:p>
        </w:tc>
        <w:tc>
          <w:tcPr>
            <w:tcW w:w="1822"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350</w:t>
            </w:r>
          </w:p>
        </w:tc>
        <w:tc>
          <w:tcPr>
            <w:tcW w:w="1974"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20.67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9" w:type="dxa"/>
            <w:vMerge w:val="continue"/>
          </w:tcPr>
          <w:p>
            <w:pPr>
              <w:jc w:val="center"/>
              <w:rPr>
                <w:rFonts w:ascii="仿宋_GB2312" w:hAnsi="仿宋_GB2312" w:eastAsia="仿宋_GB2312" w:cs="仿宋_GB2312"/>
                <w:sz w:val="32"/>
                <w:szCs w:val="32"/>
                <w:lang w:bidi="ar"/>
              </w:rPr>
            </w:pPr>
          </w:p>
        </w:tc>
        <w:tc>
          <w:tcPr>
            <w:tcW w:w="1821"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十四中</w:t>
            </w:r>
          </w:p>
        </w:tc>
        <w:tc>
          <w:tcPr>
            <w:tcW w:w="1626"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232</w:t>
            </w:r>
          </w:p>
        </w:tc>
        <w:tc>
          <w:tcPr>
            <w:tcW w:w="1822"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37</w:t>
            </w:r>
          </w:p>
        </w:tc>
        <w:tc>
          <w:tcPr>
            <w:tcW w:w="1974"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15.95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9" w:type="dxa"/>
            <w:vMerge w:val="continue"/>
          </w:tcPr>
          <w:p>
            <w:pPr>
              <w:jc w:val="center"/>
              <w:rPr>
                <w:rFonts w:ascii="仿宋_GB2312" w:hAnsi="仿宋_GB2312" w:eastAsia="仿宋_GB2312" w:cs="仿宋_GB2312"/>
                <w:sz w:val="32"/>
                <w:szCs w:val="32"/>
                <w:lang w:bidi="ar"/>
              </w:rPr>
            </w:pPr>
          </w:p>
        </w:tc>
        <w:tc>
          <w:tcPr>
            <w:tcW w:w="1821"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马投涧一中</w:t>
            </w:r>
          </w:p>
        </w:tc>
        <w:tc>
          <w:tcPr>
            <w:tcW w:w="1626" w:type="dxa"/>
          </w:tcPr>
          <w:p>
            <w:pPr>
              <w:jc w:val="center"/>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353</w:t>
            </w:r>
          </w:p>
        </w:tc>
        <w:tc>
          <w:tcPr>
            <w:tcW w:w="1822" w:type="dxa"/>
          </w:tcPr>
          <w:p>
            <w:pPr>
              <w:jc w:val="center"/>
              <w:rPr>
                <w:rFonts w:ascii="仿宋_GB2312" w:hAnsi="仿宋_GB2312" w:eastAsia="仿宋_GB2312" w:cs="仿宋_GB2312"/>
                <w:bCs/>
                <w:sz w:val="32"/>
                <w:szCs w:val="32"/>
                <w:lang w:bidi="ar"/>
              </w:rPr>
            </w:pPr>
            <w:r>
              <w:rPr>
                <w:rFonts w:hint="eastAsia" w:ascii="仿宋_GB2312" w:hAnsi="仿宋_GB2312" w:eastAsia="仿宋_GB2312" w:cs="仿宋_GB2312"/>
                <w:sz w:val="32"/>
                <w:szCs w:val="32"/>
                <w:lang w:bidi="ar"/>
              </w:rPr>
              <w:t>81</w:t>
            </w:r>
          </w:p>
        </w:tc>
        <w:tc>
          <w:tcPr>
            <w:tcW w:w="1974" w:type="dxa"/>
          </w:tcPr>
          <w:p>
            <w:pPr>
              <w:jc w:val="center"/>
              <w:rPr>
                <w:rFonts w:ascii="仿宋_GB2312" w:hAnsi="仿宋_GB2312" w:eastAsia="仿宋_GB2312" w:cs="仿宋_GB2312"/>
                <w:bCs/>
                <w:sz w:val="32"/>
                <w:szCs w:val="32"/>
                <w:lang w:bidi="ar"/>
              </w:rPr>
            </w:pPr>
            <w:r>
              <w:rPr>
                <w:rFonts w:hint="eastAsia" w:ascii="仿宋_GB2312" w:hAnsi="仿宋_GB2312" w:eastAsia="仿宋_GB2312" w:cs="仿宋_GB2312"/>
                <w:sz w:val="32"/>
                <w:szCs w:val="32"/>
                <w:lang w:bidi="ar"/>
              </w:rPr>
              <w:t>22.95</w:t>
            </w:r>
          </w:p>
        </w:tc>
      </w:tr>
    </w:tbl>
    <w:p>
      <w:pPr>
        <w:ind w:firstLine="640" w:firstLineChars="200"/>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可以看出，龙安区的低分率有显著降低，教学质量有明显提升，两所被市教育局重点调研关注的规模较大的学校十四中和马投涧一中的低分率也显著降低。</w:t>
      </w:r>
    </w:p>
    <w:p>
      <w:pPr>
        <w:ind w:firstLine="640" w:firstLineChars="200"/>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预计2024年，我区的中招成绩会持续向好，争取再创新辉煌。</w:t>
      </w:r>
    </w:p>
    <w:p>
      <w:pPr>
        <w:numPr>
          <w:ilvl w:val="0"/>
          <w:numId w:val="1"/>
        </w:numPr>
        <w:ind w:left="0" w:leftChars="0" w:firstLine="640" w:firstLineChars="200"/>
        <w:rPr>
          <w:rFonts w:hint="eastAsia" w:ascii="楷体_GB2312" w:hAnsi="仿宋_GB2312" w:eastAsia="楷体_GB2312" w:cs="Times New Roman"/>
          <w:sz w:val="32"/>
          <w:szCs w:val="32"/>
        </w:rPr>
      </w:pPr>
      <w:r>
        <w:rPr>
          <w:rFonts w:hint="eastAsia" w:ascii="楷体_GB2312" w:hAnsi="仿宋_GB2312" w:eastAsia="楷体_GB2312" w:cs="Times New Roman"/>
          <w:sz w:val="32"/>
          <w:szCs w:val="32"/>
        </w:rPr>
        <w:t>落实惠农利民政策不到位。</w:t>
      </w:r>
    </w:p>
    <w:p>
      <w:pPr>
        <w:numPr>
          <w:ilvl w:val="0"/>
          <w:numId w:val="0"/>
        </w:numPr>
        <w:ind w:firstLine="640" w:firstLineChars="200"/>
        <w:rPr>
          <w:rFonts w:ascii="仿宋_GB2312" w:hAnsi="仿宋_GB2312" w:eastAsia="仿宋_GB2312" w:cs="Times New Roman"/>
          <w:sz w:val="32"/>
          <w:szCs w:val="32"/>
        </w:rPr>
      </w:pPr>
      <w:r>
        <w:rPr>
          <w:rFonts w:hint="eastAsia" w:ascii="黑体" w:hAnsi="黑体" w:eastAsia="黑体"/>
          <w:sz w:val="32"/>
          <w:szCs w:val="32"/>
        </w:rPr>
        <w:t>整改情况：</w:t>
      </w:r>
      <w:r>
        <w:rPr>
          <w:rFonts w:hint="eastAsia" w:ascii="仿宋_GB2312" w:hAnsi="仿宋_GB2312" w:eastAsia="仿宋_GB2312" w:cs="Times New Roman"/>
          <w:sz w:val="32"/>
          <w:szCs w:val="32"/>
        </w:rPr>
        <w:t>组织全体乡镇、局直学校资助专干列席了安阳市教育局资助工作会，召开了龙安区资助工作推进会。全面使用“一卡通”系统规范资助资金发放，全面落实教育资助政策。组织各学校在国家资助平台识别、填报学生资助信息，同时和安阳市乡村振兴局沟通资助数据，确保应助尽助。资助资金发放数据长期在河南省政务服务网提供查询服务。</w:t>
      </w:r>
    </w:p>
    <w:p>
      <w:pPr>
        <w:ind w:firstLine="640" w:firstLineChars="200"/>
        <w:rPr>
          <w:rFonts w:ascii="楷体_GB2312" w:hAnsi="仿宋_GB2312" w:eastAsia="楷体_GB2312" w:cs="Times New Roman"/>
          <w:sz w:val="32"/>
          <w:szCs w:val="32"/>
        </w:rPr>
      </w:pPr>
      <w:r>
        <w:rPr>
          <w:rFonts w:hint="eastAsia" w:ascii="楷体_GB2312" w:hAnsi="仿宋_GB2312" w:eastAsia="楷体_GB2312" w:cs="Times New Roman"/>
          <w:sz w:val="32"/>
          <w:szCs w:val="32"/>
        </w:rPr>
        <w:t>3.贯彻落实党的教育方针政策不到位</w:t>
      </w:r>
    </w:p>
    <w:p>
      <w:pPr>
        <w:ind w:firstLine="640" w:firstLineChars="200"/>
        <w:rPr>
          <w:rFonts w:ascii="楷体_GB2312" w:hAnsi="仿宋_GB2312" w:eastAsia="楷体_GB2312" w:cs="Times New Roman"/>
          <w:sz w:val="32"/>
          <w:szCs w:val="32"/>
        </w:rPr>
      </w:pPr>
      <w:r>
        <w:rPr>
          <w:rFonts w:hint="eastAsia" w:ascii="楷体_GB2312" w:hAnsi="仿宋_GB2312" w:eastAsia="楷体_GB2312" w:cs="Times New Roman"/>
          <w:sz w:val="32"/>
          <w:szCs w:val="32"/>
        </w:rPr>
        <w:t>（7）师德师训工作质效低。</w:t>
      </w:r>
    </w:p>
    <w:p>
      <w:pPr>
        <w:spacing w:line="560" w:lineRule="exact"/>
        <w:ind w:firstLine="640" w:firstLineChars="200"/>
        <w:rPr>
          <w:rFonts w:ascii="仿宋_GB2312" w:hAnsi="仿宋_GB2312" w:eastAsia="仿宋_GB2312" w:cs="仿宋_GB2312"/>
          <w:sz w:val="32"/>
          <w:szCs w:val="32"/>
        </w:rPr>
      </w:pPr>
      <w:r>
        <w:rPr>
          <w:rFonts w:hint="eastAsia" w:ascii="黑体" w:hAnsi="黑体" w:eastAsia="黑体"/>
          <w:sz w:val="32"/>
          <w:szCs w:val="32"/>
        </w:rPr>
        <w:t>整改情况：</w:t>
      </w:r>
      <w:r>
        <w:rPr>
          <w:rFonts w:hint="eastAsia" w:ascii="仿宋_GB2312" w:hAnsi="仿宋_GB2312" w:eastAsia="仿宋_GB2312" w:cs="仿宋_GB2312"/>
          <w:sz w:val="32"/>
          <w:szCs w:val="32"/>
        </w:rPr>
        <w:t>加强师德师风建设，建立师德师风长效机制,切实提高全区教师的师德水平。</w:t>
      </w:r>
    </w:p>
    <w:p>
      <w:pPr>
        <w:pStyle w:val="2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lang w:val="en-US" w:eastAsia="zh-CN"/>
        </w:rPr>
        <w:t>①</w:t>
      </w:r>
      <w:r>
        <w:rPr>
          <w:rFonts w:hint="eastAsia" w:ascii="仿宋_GB2312" w:hAnsi="仿宋" w:eastAsia="仿宋_GB2312" w:cs="仿宋"/>
          <w:sz w:val="32"/>
          <w:szCs w:val="32"/>
          <w:lang w:val="en-US" w:eastAsia="zh-CN"/>
        </w:rPr>
        <w:t>围绕“践行教育家精神”为师德教育主题，</w:t>
      </w:r>
      <w:r>
        <w:rPr>
          <w:rFonts w:hint="eastAsia" w:ascii="仿宋_GB2312" w:hAnsi="仿宋" w:eastAsia="仿宋_GB2312" w:cs="仿宋"/>
          <w:sz w:val="32"/>
          <w:szCs w:val="32"/>
        </w:rPr>
        <w:t>举办</w:t>
      </w:r>
      <w:r>
        <w:rPr>
          <w:rFonts w:hint="eastAsia" w:ascii="仿宋_GB2312" w:hAnsi="仿宋" w:eastAsia="仿宋_GB2312" w:cs="仿宋"/>
          <w:spacing w:val="-10"/>
          <w:sz w:val="32"/>
          <w:szCs w:val="32"/>
          <w:lang w:val="en-US" w:eastAsia="zh-CN"/>
        </w:rPr>
        <w:t>龙安区2024年教育系统</w:t>
      </w:r>
      <w:r>
        <w:rPr>
          <w:rFonts w:hint="eastAsia" w:ascii="仿宋_GB2312" w:hAnsi="仿宋" w:eastAsia="仿宋_GB2312" w:cs="仿宋"/>
          <w:spacing w:val="-10"/>
          <w:sz w:val="32"/>
          <w:szCs w:val="32"/>
          <w:lang w:eastAsia="zh-CN"/>
        </w:rPr>
        <w:t>师德师风专题教育</w:t>
      </w:r>
      <w:r>
        <w:rPr>
          <w:rFonts w:hint="eastAsia" w:ascii="仿宋_GB2312" w:hAnsi="仿宋" w:eastAsia="仿宋_GB2312" w:cs="仿宋"/>
          <w:spacing w:val="-10"/>
          <w:sz w:val="32"/>
          <w:szCs w:val="32"/>
        </w:rPr>
        <w:t>培训</w:t>
      </w:r>
      <w:r>
        <w:rPr>
          <w:rFonts w:hint="eastAsia" w:ascii="仿宋_GB2312" w:hAnsi="仿宋" w:eastAsia="仿宋_GB2312" w:cs="仿宋"/>
          <w:spacing w:val="-10"/>
          <w:sz w:val="32"/>
          <w:szCs w:val="32"/>
          <w:lang w:eastAsia="zh-CN"/>
        </w:rPr>
        <w:t>。</w:t>
      </w:r>
      <w:r>
        <w:rPr>
          <w:rFonts w:hint="eastAsia" w:ascii="仿宋_GB2312" w:hAnsi="仿宋_GB2312" w:eastAsia="仿宋_GB2312" w:cs="仿宋_GB2312"/>
          <w:sz w:val="32"/>
          <w:szCs w:val="32"/>
          <w:lang w:eastAsia="zh-CN"/>
        </w:rPr>
        <w:t>通过开展</w:t>
      </w:r>
      <w:r>
        <w:rPr>
          <w:rFonts w:hint="eastAsia" w:ascii="仿宋_GB2312" w:hAnsi="仿宋_GB2312" w:eastAsia="仿宋_GB2312" w:cs="仿宋_GB2312"/>
          <w:sz w:val="32"/>
          <w:szCs w:val="32"/>
          <w:lang w:val="en-US" w:eastAsia="zh-CN"/>
        </w:rPr>
        <w:t>专题培训</w:t>
      </w:r>
      <w:r>
        <w:rPr>
          <w:rFonts w:hint="eastAsia" w:ascii="仿宋_GB2312" w:hAnsi="仿宋_GB2312" w:eastAsia="仿宋_GB2312" w:cs="仿宋_GB2312"/>
          <w:sz w:val="32"/>
          <w:szCs w:val="32"/>
          <w:lang w:eastAsia="zh-CN"/>
        </w:rPr>
        <w:t>，</w:t>
      </w:r>
      <w:r>
        <w:rPr>
          <w:rFonts w:hint="eastAsia" w:ascii="仿宋_GB2312" w:hAnsi="仿宋" w:eastAsia="仿宋_GB2312" w:cs="仿宋"/>
          <w:color w:val="000000"/>
          <w:sz w:val="32"/>
          <w:szCs w:val="32"/>
          <w:lang w:val="en-US" w:eastAsia="zh-CN"/>
        </w:rPr>
        <w:t>进一步</w:t>
      </w:r>
      <w:r>
        <w:rPr>
          <w:rFonts w:hint="eastAsia" w:ascii="仿宋_GB2312" w:hAnsi="仿宋" w:eastAsia="仿宋_GB2312" w:cs="仿宋"/>
          <w:color w:val="000000"/>
          <w:sz w:val="32"/>
          <w:szCs w:val="32"/>
          <w:lang w:val="en-US" w:eastAsia="zh-Hans"/>
        </w:rPr>
        <w:t>加强</w:t>
      </w:r>
      <w:r>
        <w:rPr>
          <w:rFonts w:hint="eastAsia" w:ascii="仿宋_GB2312" w:hAnsi="仿宋" w:eastAsia="仿宋_GB2312" w:cs="仿宋"/>
          <w:color w:val="000000"/>
          <w:sz w:val="32"/>
          <w:szCs w:val="32"/>
          <w:lang w:val="en-US" w:eastAsia="zh-CN"/>
        </w:rPr>
        <w:t>我区</w:t>
      </w:r>
      <w:r>
        <w:rPr>
          <w:rFonts w:hint="eastAsia" w:ascii="仿宋_GB2312" w:hAnsi="仿宋" w:eastAsia="仿宋_GB2312" w:cs="仿宋"/>
          <w:color w:val="000000"/>
          <w:sz w:val="32"/>
          <w:szCs w:val="32"/>
          <w:lang w:val="en-US" w:eastAsia="zh-Hans"/>
        </w:rPr>
        <w:t>教师师德</w:t>
      </w:r>
      <w:r>
        <w:rPr>
          <w:rFonts w:hint="eastAsia" w:ascii="仿宋_GB2312" w:hAnsi="仿宋" w:eastAsia="仿宋_GB2312" w:cs="仿宋"/>
          <w:color w:val="000000"/>
          <w:sz w:val="32"/>
          <w:szCs w:val="32"/>
          <w:lang w:val="en-US" w:eastAsia="zh-CN"/>
        </w:rPr>
        <w:t>师风</w:t>
      </w:r>
      <w:r>
        <w:rPr>
          <w:rFonts w:hint="eastAsia" w:ascii="仿宋_GB2312" w:hAnsi="仿宋" w:eastAsia="仿宋_GB2312" w:cs="仿宋"/>
          <w:color w:val="000000"/>
          <w:sz w:val="32"/>
          <w:szCs w:val="32"/>
          <w:lang w:val="en-US" w:eastAsia="zh-Hans"/>
        </w:rPr>
        <w:t>建设，</w:t>
      </w:r>
      <w:r>
        <w:rPr>
          <w:rFonts w:hint="eastAsia" w:ascii="仿宋_GB2312" w:hAnsi="仿宋" w:eastAsia="仿宋_GB2312" w:cs="仿宋"/>
          <w:color w:val="000000"/>
          <w:sz w:val="32"/>
          <w:szCs w:val="32"/>
          <w:lang w:val="en-US" w:eastAsia="zh-CN"/>
        </w:rPr>
        <w:t>提高教师的职业道德修养，强化教师文明从教、廉洁从教、规范从教的职业意识。</w:t>
      </w:r>
    </w:p>
    <w:p>
      <w:pPr>
        <w:pStyle w:val="20"/>
        <w:tabs>
          <w:tab w:val="left" w:pos="1051"/>
        </w:tabs>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lang w:eastAsia="zh-CN"/>
        </w:rPr>
        <w:t>②</w:t>
      </w:r>
      <w:r>
        <w:rPr>
          <w:rFonts w:hint="eastAsia" w:ascii="仿宋_GB2312" w:hAnsi="仿宋_GB2312" w:eastAsia="仿宋_GB2312" w:cs="仿宋_GB2312"/>
          <w:color w:val="000000"/>
          <w:sz w:val="32"/>
          <w:szCs w:val="32"/>
        </w:rPr>
        <w:t>加强教师法治教育。将教师法治教育作为教师继续教育必修内容，宣传学习教育法、教师法、教师资格条例、事业单位工作人员处分暂行规定、从业禁止制度、教职员工准入查询制度等法律法规和制度规定，提高教师法律意识和依法从教意识。</w:t>
      </w:r>
    </w:p>
    <w:p>
      <w:pPr>
        <w:spacing w:line="560" w:lineRule="exact"/>
        <w:ind w:firstLine="640" w:firstLineChars="200"/>
        <w:jc w:val="left"/>
        <w:rPr>
          <w:rFonts w:ascii="仿宋_GB2312" w:hAnsi="仿宋_GB2312" w:eastAsia="仿宋_GB2312" w:cs="仿宋_GB2312"/>
          <w:sz w:val="32"/>
          <w:szCs w:val="32"/>
        </w:rPr>
      </w:pPr>
      <w:bookmarkStart w:id="0" w:name="bookmark15"/>
      <w:bookmarkEnd w:id="0"/>
      <w:r>
        <w:rPr>
          <w:rFonts w:hint="eastAsia" w:ascii="仿宋_GB2312" w:hAnsi="仿宋_GB2312" w:eastAsia="仿宋_GB2312" w:cs="仿宋_GB2312"/>
          <w:color w:val="000000"/>
          <w:sz w:val="32"/>
          <w:szCs w:val="32"/>
        </w:rPr>
        <w:t>③建立师德考核机制。区教育局</w:t>
      </w:r>
      <w:r>
        <w:rPr>
          <w:rFonts w:hint="eastAsia" w:ascii="仿宋_GB2312" w:hAnsi="仿宋_GB2312" w:eastAsia="仿宋_GB2312" w:cs="仿宋_GB2312"/>
          <w:sz w:val="32"/>
          <w:szCs w:val="32"/>
        </w:rPr>
        <w:t>印发了《龙安区教育系统师德师风考核管理办法（试行）》的通知》（</w:t>
      </w:r>
      <w:r>
        <w:rPr>
          <w:rFonts w:hint="eastAsia" w:ascii="仿宋_GB2312" w:hAnsi="仿宋_GB2312" w:eastAsia="仿宋_GB2312" w:cs="仿宋_GB2312"/>
          <w:color w:val="000000"/>
          <w:sz w:val="32"/>
          <w:szCs w:val="32"/>
        </w:rPr>
        <w:t>龙教师训函</w:t>
      </w:r>
      <w:r>
        <w:rPr>
          <w:rFonts w:hint="eastAsia" w:ascii="仿宋_GB2312" w:hAnsi="仿宋_GB2312" w:eastAsia="仿宋_GB2312" w:cs="仿宋_GB2312"/>
          <w:color w:val="222222"/>
          <w:kern w:val="0"/>
          <w:sz w:val="32"/>
          <w:szCs w:val="32"/>
        </w:rPr>
        <w:t>〔2023〕58</w:t>
      </w:r>
      <w:r>
        <w:rPr>
          <w:rFonts w:hint="eastAsia" w:ascii="仿宋_GB2312" w:hAnsi="仿宋_GB2312" w:eastAsia="仿宋_GB2312" w:cs="仿宋_GB2312"/>
          <w:color w:val="000000"/>
          <w:sz w:val="32"/>
          <w:szCs w:val="32"/>
        </w:rPr>
        <w:t>号</w:t>
      </w:r>
      <w:r>
        <w:rPr>
          <w:rFonts w:hint="eastAsia" w:ascii="仿宋_GB2312" w:hAnsi="仿宋_GB2312" w:eastAsia="仿宋_GB2312" w:cs="仿宋_GB2312"/>
          <w:sz w:val="32"/>
          <w:szCs w:val="32"/>
        </w:rPr>
        <w:t>）</w:t>
      </w:r>
      <w:r>
        <w:rPr>
          <w:rFonts w:hint="eastAsia" w:ascii="仿宋_GB2312" w:hAnsi="仿宋_GB2312" w:eastAsia="仿宋_GB2312" w:cs="仿宋_GB2312"/>
          <w:color w:val="000000"/>
          <w:sz w:val="32"/>
          <w:szCs w:val="32"/>
        </w:rPr>
        <w:t>文件，</w:t>
      </w:r>
      <w:r>
        <w:rPr>
          <w:rFonts w:hint="eastAsia" w:ascii="仿宋_GB2312" w:hAnsi="仿宋_GB2312" w:eastAsia="仿宋_GB2312" w:cs="仿宋_GB2312"/>
          <w:sz w:val="32"/>
          <w:szCs w:val="32"/>
        </w:rPr>
        <w:t>在全区中小学（幼儿园）开展师德师风考核，将师德师风考核结果作为对教师进行奖惩、聘任以及职务晋升的重要依据。对师德师风考核不合格的教师实行“一票否决”。</w:t>
      </w:r>
    </w:p>
    <w:p>
      <w:pPr>
        <w:numPr>
          <w:ilvl w:val="0"/>
          <w:numId w:val="2"/>
        </w:numPr>
        <w:ind w:firstLine="640" w:firstLineChars="200"/>
        <w:rPr>
          <w:rFonts w:ascii="仿宋_GB2312" w:hAnsi="黑体" w:eastAsia="仿宋_GB2312"/>
          <w:sz w:val="32"/>
          <w:szCs w:val="32"/>
        </w:rPr>
      </w:pPr>
      <w:r>
        <w:rPr>
          <w:rFonts w:hint="eastAsia" w:ascii="楷体_GB2312" w:hAnsi="仿宋_GB2312" w:eastAsia="楷体_GB2312" w:cs="Times New Roman"/>
          <w:sz w:val="32"/>
          <w:szCs w:val="32"/>
        </w:rPr>
        <w:t>贯彻“五育并举”教育发展要求及“双减”政策不到位。</w:t>
      </w:r>
    </w:p>
    <w:p>
      <w:pPr>
        <w:numPr>
          <w:ilvl w:val="0"/>
          <w:numId w:val="0"/>
        </w:num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为落实规范办学要求，龙安区教育局出台了《关于2024年龙安区中小学（幼儿园）春季学期开学情况督导检查工作的通知》，召开部署会、开展开学调研，就开齐开足音体美课程、坚持“零起点”教学，规范日常作息时间、公示书面作业时间、加强五项管理等对全区中小学进行了全面督导，积极组织辖区内新世纪中学等3所学校开展首批河南省“五育并举”实验学校建设，切实贯彻“五育并举”工作。要求各中小学作息时间表在区教育局备案，坚决纠正不规范作息时间问题，巩固“双减”工作成效。</w:t>
      </w:r>
    </w:p>
    <w:p>
      <w:pPr>
        <w:ind w:firstLine="640" w:firstLineChars="200"/>
        <w:rPr>
          <w:rFonts w:ascii="仿宋_GB2312" w:hAnsi="黑体" w:eastAsia="仿宋_GB2312"/>
          <w:sz w:val="32"/>
          <w:szCs w:val="32"/>
        </w:rPr>
      </w:pPr>
      <w:r>
        <w:rPr>
          <w:rFonts w:hint="eastAsia" w:ascii="仿宋_GB2312" w:hAnsi="黑体" w:eastAsia="仿宋_GB2312"/>
          <w:sz w:val="32"/>
          <w:szCs w:val="32"/>
        </w:rPr>
        <w:t>建立健全教师职业道德评价机制，按照《龙安区教育系统师德师风考核管理办法（试行）》文件要求，实行“一票否决制”，于每学年底进行师德考核。2024年春季学期，区教育局开展教师职业道德培训，600余名教师参与培训，引导广大教师敬业立学、崇德尚美，营造风清气正育人环境。</w:t>
      </w:r>
    </w:p>
    <w:p>
      <w:pPr>
        <w:ind w:firstLine="640" w:firstLineChars="200"/>
        <w:rPr>
          <w:rFonts w:ascii="仿宋_GB2312" w:hAnsi="黑体" w:eastAsia="仿宋_GB2312"/>
          <w:sz w:val="32"/>
          <w:szCs w:val="32"/>
        </w:rPr>
      </w:pPr>
      <w:r>
        <w:rPr>
          <w:rFonts w:hint="eastAsia" w:ascii="仿宋_GB2312" w:hAnsi="黑体" w:eastAsia="仿宋_GB2312"/>
          <w:sz w:val="32"/>
          <w:szCs w:val="32"/>
        </w:rPr>
        <w:t>鉴于校外培训机构治理工作的复杂性，区教育局充分发挥区“双减”办协调作用，积极推动建立了跨部门协作机制。与市场监管、消防大队、住建局、文广体旅局、科技局、各乡镇、街道办事处等部门联合开展了多次专项督查行动，共同打击非法违规办学行为。针对“冰芯图书吧”违规开展学科类培训行为，区“双减”办依法予以查处，目前“冰芯图书吧”已经关停。</w:t>
      </w:r>
    </w:p>
    <w:p>
      <w:pPr>
        <w:numPr>
          <w:ilvl w:val="0"/>
          <w:numId w:val="2"/>
        </w:numPr>
        <w:ind w:left="0" w:leftChars="0" w:firstLine="640" w:firstLineChars="200"/>
        <w:rPr>
          <w:rFonts w:hint="eastAsia" w:ascii="楷体_GB2312" w:hAnsi="仿宋_GB2312" w:eastAsia="楷体_GB2312" w:cs="Times New Roman"/>
          <w:sz w:val="32"/>
          <w:szCs w:val="32"/>
        </w:rPr>
      </w:pPr>
      <w:r>
        <w:rPr>
          <w:rFonts w:hint="eastAsia" w:ascii="楷体_GB2312" w:hAnsi="仿宋_GB2312" w:eastAsia="楷体_GB2312" w:cs="Times New Roman"/>
          <w:sz w:val="32"/>
          <w:szCs w:val="32"/>
        </w:rPr>
        <w:t>学前教育发展不均衡，管理漏洞大。</w:t>
      </w:r>
    </w:p>
    <w:p>
      <w:pPr>
        <w:numPr>
          <w:ilvl w:val="0"/>
          <w:numId w:val="0"/>
        </w:num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一是已购买1066个公办学位，公办园占比达到52.88%。二是区直幼儿园全面开始招生，可增加540个公办学位。三是2023年普惠园和公办园生均奖补资金已全部到位。四是无证园已纳入日常监管，并进行动态清零。</w:t>
      </w:r>
    </w:p>
    <w:p>
      <w:pPr>
        <w:numPr>
          <w:ilvl w:val="0"/>
          <w:numId w:val="2"/>
        </w:numPr>
        <w:ind w:left="0" w:leftChars="0" w:firstLine="640" w:firstLineChars="200"/>
        <w:rPr>
          <w:rFonts w:hint="eastAsia" w:ascii="楷体_GB2312" w:hAnsi="仿宋_GB2312" w:eastAsia="楷体_GB2312" w:cs="Times New Roman"/>
          <w:sz w:val="32"/>
          <w:szCs w:val="32"/>
        </w:rPr>
      </w:pPr>
      <w:r>
        <w:rPr>
          <w:rFonts w:hint="eastAsia" w:ascii="楷体_GB2312" w:hAnsi="仿宋_GB2312" w:eastAsia="楷体_GB2312" w:cs="Times New Roman"/>
          <w:sz w:val="32"/>
          <w:szCs w:val="32"/>
        </w:rPr>
        <w:t>对民办教育把关不严、监管不力。</w:t>
      </w:r>
    </w:p>
    <w:p>
      <w:pPr>
        <w:numPr>
          <w:ilvl w:val="0"/>
          <w:numId w:val="0"/>
        </w:num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学期初，召开3次民办学校校园安全、信访稳定、规范办学等内容工作专题会，联合体卫艺、安全办、审批股等股室开展了多次中小学专项督查，对辖区民办学校食品安全校园校舍安全、收费、心理健康等方面工作进行排查，对存在隐患的学校下达整改通知单，责令限期整改，完成整改后再次复验，直至达标。联合审批股通过“年检”形式，对各民办学校办学行为以及办学资格进行检查，不合格单位责令整改。龙骏中学被褥费问题，学校与家长签订《征求意见表》，通过签署征求意见表自愿购买。教辅资料费用经家委会收取，要求对所购教辅图书收费明细进行公开。龙文学校根据安阳市发展和改革委员会文件《关于安阳市龙安区龙文学校初中部学费收费标准的批复》（按发改物价〔2023〕264号）精神，每生每学年不超过11000元，严格遵照执行此标准。</w:t>
      </w:r>
    </w:p>
    <w:p>
      <w:pPr>
        <w:ind w:firstLine="640" w:firstLineChars="200"/>
        <w:rPr>
          <w:rFonts w:ascii="楷体_GB2312" w:hAnsi="仿宋_GB2312" w:eastAsia="楷体_GB2312" w:cs="Times New Roman"/>
          <w:sz w:val="32"/>
          <w:szCs w:val="32"/>
        </w:rPr>
      </w:pPr>
      <w:r>
        <w:rPr>
          <w:rFonts w:hint="eastAsia" w:ascii="楷体_GB2312" w:hAnsi="仿宋_GB2312" w:eastAsia="楷体_GB2312" w:cs="Times New Roman"/>
          <w:sz w:val="32"/>
          <w:szCs w:val="32"/>
        </w:rPr>
        <w:t>（11）代课教师未纳入统一管理。</w:t>
      </w:r>
    </w:p>
    <w:p>
      <w:p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制定下发了《龙安区中小学临时代课教师规范管理暂行办法》《关于进一步加强全区中小学幼儿园临时代课教师使用规范管理的通知》，要求全区中小学幼儿园一律不准擅自使用临时代课教师，目前正在使用的临时代课教师及时清退。对各学校使用临时代课教师要严格按照规定程序报批，未经区教育局批准使用临时代课教师的学校，将依照相关规定严肃追究校长的责任。</w:t>
      </w:r>
    </w:p>
    <w:p>
      <w:pPr>
        <w:numPr>
          <w:ilvl w:val="0"/>
          <w:numId w:val="2"/>
        </w:numPr>
        <w:ind w:left="0" w:leftChars="0" w:firstLine="640" w:firstLineChars="200"/>
        <w:rPr>
          <w:rFonts w:hint="eastAsia" w:ascii="楷体_GB2312" w:hAnsi="仿宋_GB2312" w:eastAsia="楷体_GB2312" w:cs="Times New Roman"/>
          <w:sz w:val="32"/>
          <w:szCs w:val="32"/>
        </w:rPr>
      </w:pPr>
      <w:r>
        <w:rPr>
          <w:rFonts w:hint="eastAsia" w:ascii="楷体_GB2312" w:hAnsi="仿宋_GB2312" w:eastAsia="楷体_GB2312" w:cs="Times New Roman"/>
          <w:sz w:val="32"/>
          <w:szCs w:val="32"/>
        </w:rPr>
        <w:t>督学作用发挥不明显。</w:t>
      </w:r>
    </w:p>
    <w:p>
      <w:pPr>
        <w:numPr>
          <w:ilvl w:val="0"/>
          <w:numId w:val="0"/>
        </w:num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一是细化分工，及时调整督学队伍，进一步凸显责任督学特色和优势开展工作。二是加强管理，制定《龙安区责任督学到校督导登记表》《龙安区责任督学受理、核实投诉记录表》，进一步指导责任督学强化对被督导学校发现问题的整改。整理统计2023年10月--至今6个月《责任督学到校登记表》，共计361份；《龙安区责任督学受理、核实投诉记录表》12份。三是强化联动，及时对督导发现的疑难问题分流交办，促进问题尽快解决。</w:t>
      </w:r>
    </w:p>
    <w:p>
      <w:pPr>
        <w:ind w:firstLine="640" w:firstLineChars="200"/>
        <w:rPr>
          <w:rFonts w:ascii="楷体_GB2312" w:hAnsi="仿宋_GB2312" w:eastAsia="楷体_GB2312" w:cs="Times New Roman"/>
          <w:sz w:val="32"/>
          <w:szCs w:val="32"/>
        </w:rPr>
      </w:pPr>
      <w:r>
        <w:rPr>
          <w:rFonts w:hint="eastAsia" w:ascii="楷体_GB2312" w:hAnsi="仿宋_GB2312" w:eastAsia="楷体_GB2312" w:cs="Times New Roman"/>
          <w:sz w:val="32"/>
          <w:szCs w:val="32"/>
        </w:rPr>
        <w:t>4.防范化解重大风险认识不足、力度不够</w:t>
      </w:r>
    </w:p>
    <w:p>
      <w:pPr>
        <w:ind w:firstLine="640" w:firstLineChars="200"/>
        <w:rPr>
          <w:rFonts w:hint="eastAsia" w:ascii="楷体_GB2312" w:hAnsi="仿宋_GB2312" w:eastAsia="楷体_GB2312" w:cs="Times New Roman"/>
          <w:sz w:val="32"/>
          <w:szCs w:val="32"/>
        </w:rPr>
      </w:pPr>
      <w:r>
        <w:rPr>
          <w:rFonts w:hint="eastAsia" w:ascii="楷体_GB2312" w:hAnsi="仿宋_GB2312" w:eastAsia="楷体_GB2312" w:cs="Times New Roman"/>
          <w:sz w:val="32"/>
          <w:szCs w:val="32"/>
        </w:rPr>
        <w:t>（13）对消防安全、食品安全等风险防控工作重视不够、措施不足、检查不力。</w:t>
      </w:r>
    </w:p>
    <w:p>
      <w:p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一是制定并完善了消防安全、食品安全等风险防控工作的相关制度和流程，明确了各项工作的具体要求和责任。制定了《龙安区教育系统人员密集场所消防安全隐患专项排查整治方案》，组织各学校、各校外培训机构填写上报了《全区教育系统人员密集场所消防安全自查自改登记表》，深入开展隐患排查，督促整改，形成工作闭环。二是成立了专门的检查小组，对消防设施进行了全面排查，及时更新了不合格的消防设施，并按要求配备了完整的消防设备。全区排查学校（幼儿园）和校外学科类培训机构共139所（次），发现隐患30处，目前已完成整改。开展消防培训126场次，培训人数3500人次，组织各类应急演练130余场次，覆盖了辖区所有教师和学生。三是落实了实验室各项规章制度，加强了实验室财产和仪器的保管、维护借出、收回、使用等方面的规范化管理。四是对中小学、幼儿园食堂进行了专项的督导检查，工作人员健康证已全部更新，进货查货流程得到完善，消毒记录规范化，卫生条件显著提升，环境整洁有序，学生食品安全得到进一步保障。</w:t>
      </w:r>
    </w:p>
    <w:p>
      <w:pPr>
        <w:numPr>
          <w:ilvl w:val="0"/>
          <w:numId w:val="0"/>
        </w:numPr>
        <w:ind w:firstLine="640" w:firstLineChars="200"/>
        <w:rPr>
          <w:rFonts w:hint="eastAsia" w:ascii="楷体_GB2312" w:hAnsi="仿宋_GB2312" w:eastAsia="楷体_GB2312" w:cs="Times New Roman"/>
          <w:sz w:val="32"/>
          <w:szCs w:val="32"/>
        </w:rPr>
      </w:pPr>
      <w:r>
        <w:rPr>
          <w:rFonts w:hint="eastAsia" w:ascii="楷体_GB2312" w:hAnsi="仿宋_GB2312" w:eastAsia="楷体_GB2312" w:cs="Times New Roman"/>
          <w:kern w:val="2"/>
          <w:sz w:val="32"/>
          <w:szCs w:val="32"/>
          <w:lang w:val="en-US" w:eastAsia="zh-CN" w:bidi="ar-SA"/>
        </w:rPr>
        <w:t>（14）</w:t>
      </w:r>
      <w:r>
        <w:rPr>
          <w:rFonts w:hint="eastAsia" w:ascii="楷体_GB2312" w:hAnsi="仿宋_GB2312" w:eastAsia="楷体_GB2312" w:cs="Times New Roman"/>
          <w:sz w:val="32"/>
          <w:szCs w:val="32"/>
        </w:rPr>
        <w:t>国家安全风险防范意识不强、监管不够。</w:t>
      </w:r>
    </w:p>
    <w:p>
      <w:pPr>
        <w:numPr>
          <w:ilvl w:val="0"/>
          <w:numId w:val="0"/>
        </w:num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一是组织全体工作人员在一楼会议室参加了保密培训，学习保密法律法规和保密知识，提高保密意识和保密技能。二是涉密文件管理更加规范，严格按照规定进行收发、传递、使用和保管，确保涉密信息安全。三是建立了保密工作的长效机制，通过完善制度和加强监督检查，确保保密工作的持续有效性。</w:t>
      </w:r>
    </w:p>
    <w:p>
      <w:pPr>
        <w:ind w:firstLine="640" w:firstLineChars="200"/>
        <w:rPr>
          <w:rFonts w:ascii="楷体_GB2312" w:hAnsi="仿宋_GB2312" w:eastAsia="楷体_GB2312" w:cs="Times New Roman"/>
          <w:sz w:val="32"/>
          <w:szCs w:val="32"/>
        </w:rPr>
      </w:pPr>
      <w:r>
        <w:rPr>
          <w:rFonts w:hint="eastAsia" w:ascii="楷体_GB2312" w:hAnsi="仿宋_GB2312" w:eastAsia="楷体_GB2312" w:cs="Times New Roman"/>
          <w:sz w:val="32"/>
          <w:szCs w:val="32"/>
        </w:rPr>
        <w:t>（二）聚焦群众身边腐败问题和不正之风及群众反映强烈的问题</w:t>
      </w:r>
    </w:p>
    <w:p>
      <w:pPr>
        <w:ind w:firstLine="640" w:firstLineChars="200"/>
        <w:rPr>
          <w:rFonts w:ascii="楷体_GB2312" w:hAnsi="仿宋_GB2312" w:eastAsia="楷体_GB2312" w:cs="Times New Roman"/>
          <w:sz w:val="32"/>
          <w:szCs w:val="32"/>
        </w:rPr>
      </w:pPr>
      <w:r>
        <w:rPr>
          <w:rFonts w:hint="eastAsia" w:ascii="楷体_GB2312" w:hAnsi="仿宋_GB2312" w:eastAsia="楷体_GB2312" w:cs="Times New Roman"/>
          <w:sz w:val="32"/>
          <w:szCs w:val="32"/>
        </w:rPr>
        <w:t>1.履行主体责任乏力。</w:t>
      </w:r>
    </w:p>
    <w:p>
      <w:pPr>
        <w:ind w:firstLine="640" w:firstLineChars="200"/>
        <w:rPr>
          <w:rFonts w:hint="eastAsia" w:ascii="楷体_GB2312" w:hAnsi="仿宋_GB2312" w:eastAsia="楷体_GB2312" w:cs="Times New Roman"/>
          <w:sz w:val="32"/>
          <w:szCs w:val="32"/>
        </w:rPr>
      </w:pPr>
      <w:r>
        <w:rPr>
          <w:rFonts w:hint="eastAsia" w:ascii="楷体_GB2312" w:hAnsi="仿宋_GB2312" w:eastAsia="楷体_GB2312" w:cs="Times New Roman"/>
          <w:sz w:val="32"/>
          <w:szCs w:val="32"/>
        </w:rPr>
        <w:t>（15）“一岗双责”落实不全面，履行监督职责有短板。</w:t>
      </w:r>
    </w:p>
    <w:p>
      <w:p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一是组织局领导班子和重点股室负责人进行专题学习，深入学习党风廉政建设“一岗双责”的内涵和要求，提高对管党治党、定期分析政治生态、对党员监督等工作的认识和重视程度。二是局党组会议记录中增加了领导班子管党治党、定期分析政治生态、对党员监督等工作的记录，体现了党风廉政建设工作的经常性和深入性。三是局党建办每月都会到各学校督导检查，全面从严治党方面的材料更加完整和规范，缺失情况得到了改善。</w:t>
      </w:r>
    </w:p>
    <w:p>
      <w:pPr>
        <w:numPr>
          <w:ilvl w:val="0"/>
          <w:numId w:val="0"/>
        </w:numPr>
        <w:ind w:left="0" w:leftChars="0" w:firstLine="640" w:firstLineChars="200"/>
        <w:rPr>
          <w:rFonts w:hint="eastAsia" w:ascii="楷体_GB2312" w:hAnsi="仿宋_GB2312" w:eastAsia="楷体_GB2312" w:cs="Times New Roman"/>
          <w:sz w:val="32"/>
          <w:szCs w:val="32"/>
        </w:rPr>
      </w:pPr>
      <w:r>
        <w:rPr>
          <w:rFonts w:hint="eastAsia" w:ascii="楷体_GB2312" w:hAnsi="仿宋_GB2312" w:eastAsia="楷体_GB2312" w:cs="Times New Roman"/>
          <w:kern w:val="2"/>
          <w:sz w:val="32"/>
          <w:szCs w:val="32"/>
          <w:lang w:val="en-US" w:eastAsia="zh-CN" w:bidi="ar-SA"/>
        </w:rPr>
        <w:t>（16）</w:t>
      </w:r>
      <w:r>
        <w:rPr>
          <w:rFonts w:hint="eastAsia" w:ascii="楷体_GB2312" w:hAnsi="仿宋_GB2312" w:eastAsia="楷体_GB2312" w:cs="Times New Roman"/>
          <w:sz w:val="32"/>
          <w:szCs w:val="32"/>
        </w:rPr>
        <w:t>以案促改警示教育工作开展不够深入。</w:t>
      </w:r>
    </w:p>
    <w:p>
      <w:pPr>
        <w:numPr>
          <w:ilvl w:val="0"/>
          <w:numId w:val="0"/>
        </w:num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1.及时召开系统内以案促改警示教育会，举一反三，严格管理。</w:t>
      </w:r>
    </w:p>
    <w:p>
      <w:pPr>
        <w:ind w:firstLine="640" w:firstLineChars="200"/>
        <w:rPr>
          <w:rFonts w:ascii="仿宋_GB2312" w:hAnsi="黑体" w:eastAsia="仿宋_GB2312"/>
          <w:sz w:val="32"/>
          <w:szCs w:val="32"/>
        </w:rPr>
      </w:pPr>
      <w:r>
        <w:rPr>
          <w:rFonts w:hint="eastAsia" w:ascii="仿宋_GB2312" w:hAnsi="黑体" w:eastAsia="仿宋_GB2312"/>
          <w:sz w:val="32"/>
          <w:szCs w:val="32"/>
        </w:rPr>
        <w:t>根据派驻组要求，元月2日在局机关全体同志会议上，由局长传达学习了龙安区纪委《关于转发市纪委《关于四起党员干部和公职人员参与赌博典型问题的通报》的通知》，为加大警示教育力度，我们将传达学习范围扩大到了全区教育系统内所有领导干部和教职员工，并且要求逐级对学习情况进行汇报，留存档案资料。</w:t>
      </w:r>
    </w:p>
    <w:p>
      <w:pPr>
        <w:ind w:firstLine="640" w:firstLineChars="200"/>
        <w:rPr>
          <w:rFonts w:ascii="仿宋_GB2312" w:hAnsi="黑体" w:eastAsia="仿宋_GB2312"/>
          <w:sz w:val="32"/>
          <w:szCs w:val="32"/>
        </w:rPr>
      </w:pPr>
      <w:r>
        <w:rPr>
          <w:rFonts w:hint="eastAsia" w:ascii="仿宋_GB2312" w:hAnsi="黑体" w:eastAsia="仿宋_GB2312"/>
          <w:sz w:val="32"/>
          <w:szCs w:val="32"/>
        </w:rPr>
        <w:t xml:space="preserve"> 2024年元月18日，组织全区教育系统领导干部认真学习河南省教育厅网站上转载的沈阳市教育局官方微信公众号公布《在职教师违规补课查处情况》，通报6起在职教师违规补课典型案例，17名教师被处分。同时要求全区各中小学（幼儿园）组织教师认真学习《中小学教师职业道德规范》《新时代中小学教师职业行为十项准则》《新时代幼儿园教师职业行为十项准则》，坚守廉洁自律，规范从教行为。</w:t>
      </w:r>
    </w:p>
    <w:p>
      <w:pPr>
        <w:ind w:firstLine="640" w:firstLineChars="200"/>
        <w:rPr>
          <w:rFonts w:ascii="仿宋_GB2312" w:hAnsi="黑体" w:eastAsia="仿宋_GB2312"/>
          <w:sz w:val="32"/>
          <w:szCs w:val="32"/>
        </w:rPr>
      </w:pPr>
      <w:r>
        <w:rPr>
          <w:rFonts w:hint="eastAsia" w:ascii="仿宋_GB2312" w:hAnsi="黑体" w:eastAsia="仿宋_GB2312"/>
          <w:sz w:val="32"/>
          <w:szCs w:val="32"/>
        </w:rPr>
        <w:t>2024年2月，马投涧镇杜贺驼小学校长因酒驾被给予警告处分，对于反复出现的问题，局党组高度重视，在全区教育系统内部特别是马投涧镇中小学教师中开展以案促改警示教育，要求广大党员干部从中汲取教训，严守纪法红线。</w:t>
      </w:r>
    </w:p>
    <w:p>
      <w:pPr>
        <w:ind w:firstLine="640" w:firstLineChars="200"/>
        <w:rPr>
          <w:rFonts w:ascii="仿宋_GB2312" w:hAnsi="黑体" w:eastAsia="仿宋_GB2312"/>
          <w:sz w:val="32"/>
          <w:szCs w:val="32"/>
        </w:rPr>
      </w:pPr>
      <w:r>
        <w:rPr>
          <w:rFonts w:hint="eastAsia" w:ascii="仿宋_GB2312" w:hAnsi="黑体" w:eastAsia="仿宋_GB2312"/>
          <w:sz w:val="32"/>
          <w:szCs w:val="32"/>
        </w:rPr>
        <w:t>2024年3月1日，龙安区教育局组织召开“龙安区教育系统廉政工作会”，学习贯彻龙安区纪委转发市纪委《关于严禁党员干部和公职人员违规吃喝的通知》（附：中央、省、市纪委监委通报的违规吃喝典型案例），要求教育系统广大党员干部严格落实中央八项规定精神，引领广大党员干部不断将党的作风建设引向深入。</w:t>
      </w:r>
    </w:p>
    <w:p>
      <w:pPr>
        <w:ind w:firstLine="640" w:firstLineChars="200"/>
        <w:rPr>
          <w:rFonts w:ascii="仿宋_GB2312" w:hAnsi="黑体" w:eastAsia="仿宋_GB2312"/>
          <w:sz w:val="32"/>
          <w:szCs w:val="32"/>
        </w:rPr>
      </w:pPr>
      <w:r>
        <w:rPr>
          <w:rFonts w:hint="eastAsia" w:ascii="仿宋_GB2312" w:hAnsi="黑体" w:eastAsia="仿宋_GB2312"/>
          <w:sz w:val="32"/>
          <w:szCs w:val="32"/>
        </w:rPr>
        <w:t>2.把学习宣传贯彻《中国共产党纪律处分条例》摆在突出位置，着力营造学《条例》、守纪律、讲规矩的良好氛围。</w:t>
      </w:r>
    </w:p>
    <w:p>
      <w:pPr>
        <w:ind w:firstLine="640" w:firstLineChars="200"/>
        <w:rPr>
          <w:rFonts w:ascii="仿宋_GB2312" w:hAnsi="黑体" w:eastAsia="仿宋_GB2312"/>
          <w:sz w:val="32"/>
          <w:szCs w:val="32"/>
        </w:rPr>
      </w:pPr>
      <w:r>
        <w:rPr>
          <w:rFonts w:hint="eastAsia" w:ascii="仿宋_GB2312" w:hAnsi="黑体" w:eastAsia="仿宋_GB2312"/>
          <w:sz w:val="32"/>
          <w:szCs w:val="32"/>
        </w:rPr>
        <w:t>2024年元月，局纪检监察室下发通知，要求全区教育系统领导干部认真学习《中国共产党纪律处分条例》（2023年新修订版），使《条例》在教育系统党员干部教职工中内化于心、外化于行，自觉设立底线、修筑防线，心存敬畏，严守纪律，扎实工作。</w:t>
      </w:r>
    </w:p>
    <w:p>
      <w:pPr>
        <w:numPr>
          <w:ilvl w:val="0"/>
          <w:numId w:val="0"/>
        </w:numPr>
        <w:ind w:left="0" w:leftChars="0" w:firstLine="640" w:firstLineChars="200"/>
        <w:rPr>
          <w:rFonts w:hint="eastAsia" w:ascii="楷体_GB2312" w:hAnsi="仿宋_GB2312" w:eastAsia="楷体_GB2312" w:cs="Times New Roman"/>
          <w:sz w:val="32"/>
          <w:szCs w:val="32"/>
        </w:rPr>
      </w:pPr>
      <w:r>
        <w:rPr>
          <w:rFonts w:hint="eastAsia" w:ascii="楷体_GB2312" w:hAnsi="仿宋_GB2312" w:eastAsia="楷体_GB2312" w:cs="Times New Roman"/>
          <w:kern w:val="2"/>
          <w:sz w:val="32"/>
          <w:szCs w:val="32"/>
          <w:lang w:val="en-US" w:eastAsia="zh-CN" w:bidi="ar-SA"/>
        </w:rPr>
        <w:t>（17）</w:t>
      </w:r>
      <w:r>
        <w:rPr>
          <w:rFonts w:hint="eastAsia" w:ascii="楷体_GB2312" w:hAnsi="仿宋_GB2312" w:eastAsia="楷体_GB2312" w:cs="Times New Roman"/>
          <w:sz w:val="32"/>
          <w:szCs w:val="32"/>
        </w:rPr>
        <w:t>重点项目监管机制不健全。一是缺少建设前期对学校的调研、论证、筛选、监控等机制。二是缺乏对项目全过程建设及财务收支的监管。</w:t>
      </w:r>
    </w:p>
    <w:p>
      <w:pPr>
        <w:numPr>
          <w:ilvl w:val="0"/>
          <w:numId w:val="0"/>
        </w:num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在充分调研、论证的前提下制定了《龙安区义务教育学校建设规划（2024-2028年）》（龙教【2024】32号），确定学校发展年度计划和规划项目，并对学校项目进一步按照《龙安区教育系统基本建设管理办法（修订稿）》加强管理。已对我区教育系统三重一大事项集体决策并备案至区派驻纪检组和局监察室。局机关发布红头文件成立招标投标工作领导小组（龙教【2023】103号）加强对工程建设项目招标投标工作的内部监督管理。对发现的工程资料不规范问题，例如合同签订不规范，混乱无序等问题重新退回完善，按照资料档案目录收纳整理。</w:t>
      </w:r>
    </w:p>
    <w:p>
      <w:pPr>
        <w:numPr>
          <w:ilvl w:val="0"/>
          <w:numId w:val="0"/>
        </w:numPr>
        <w:ind w:left="0" w:leftChars="0" w:firstLine="640" w:firstLineChars="200"/>
        <w:rPr>
          <w:rFonts w:hint="eastAsia" w:ascii="楷体_GB2312" w:hAnsi="仿宋_GB2312" w:eastAsia="楷体_GB2312" w:cs="Times New Roman"/>
          <w:sz w:val="32"/>
          <w:szCs w:val="32"/>
        </w:rPr>
      </w:pPr>
      <w:r>
        <w:rPr>
          <w:rFonts w:hint="eastAsia" w:ascii="楷体_GB2312" w:hAnsi="仿宋_GB2312" w:eastAsia="楷体_GB2312" w:cs="Times New Roman"/>
          <w:kern w:val="2"/>
          <w:sz w:val="32"/>
          <w:szCs w:val="32"/>
          <w:lang w:val="en-US" w:eastAsia="zh-CN" w:bidi="ar-SA"/>
        </w:rPr>
        <w:t>（18）</w:t>
      </w:r>
      <w:r>
        <w:rPr>
          <w:rFonts w:hint="eastAsia" w:ascii="楷体_GB2312" w:hAnsi="仿宋_GB2312" w:eastAsia="楷体_GB2312" w:cs="Times New Roman"/>
          <w:sz w:val="32"/>
          <w:szCs w:val="32"/>
        </w:rPr>
        <w:t>财务监管缺位。</w:t>
      </w:r>
    </w:p>
    <w:p>
      <w:pPr>
        <w:numPr>
          <w:ilvl w:val="0"/>
          <w:numId w:val="0"/>
        </w:num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一是已成立内审机构，制定内审计划，下一步将按照计划有序开展内审工作。二是已印发《安阳市龙安区教育系统财务管理制度》（试行），进一步明确财务管理要求，规范财会行为，下一步将严格按照制度开展财会工作。</w:t>
      </w:r>
    </w:p>
    <w:p>
      <w:pPr>
        <w:numPr>
          <w:ilvl w:val="0"/>
          <w:numId w:val="0"/>
        </w:numPr>
        <w:ind w:left="0" w:leftChars="0" w:firstLine="640" w:firstLineChars="200"/>
        <w:rPr>
          <w:rFonts w:hint="eastAsia" w:ascii="楷体_GB2312" w:hAnsi="仿宋_GB2312" w:eastAsia="楷体_GB2312" w:cs="Times New Roman"/>
          <w:sz w:val="32"/>
          <w:szCs w:val="32"/>
        </w:rPr>
      </w:pPr>
      <w:r>
        <w:rPr>
          <w:rFonts w:hint="eastAsia" w:ascii="楷体_GB2312" w:hAnsi="仿宋_GB2312" w:eastAsia="楷体_GB2312" w:cs="Times New Roman"/>
          <w:kern w:val="2"/>
          <w:sz w:val="32"/>
          <w:szCs w:val="32"/>
          <w:lang w:val="en-US" w:eastAsia="zh-CN" w:bidi="ar-SA"/>
        </w:rPr>
        <w:t>（19）</w:t>
      </w:r>
      <w:r>
        <w:rPr>
          <w:rFonts w:hint="eastAsia" w:ascii="楷体_GB2312" w:hAnsi="仿宋_GB2312" w:eastAsia="楷体_GB2312" w:cs="Times New Roman"/>
          <w:sz w:val="32"/>
          <w:szCs w:val="32"/>
        </w:rPr>
        <w:t>财务制度执行不严格。</w:t>
      </w:r>
    </w:p>
    <w:p>
      <w:pPr>
        <w:numPr>
          <w:ilvl w:val="0"/>
          <w:numId w:val="0"/>
        </w:num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一是已印发《安阳市龙安区教育系统财务管理制度》（试行），细化各项工作要求，规范财会行为，下一步将严格按照制度开展财会工作；二是定期不定期进行财务抽查。近期将开展教育乱收费专项检查。三是有计划地开展会计业务培训，提升业务技能。近期已先后组织开展2023年内部控制报告编制培训、非税收入收缴和财政电子票据应用操作培训，行政事业单位经济普查表登记方法培训和教育系统政府采购业务培训；三是规范了校服采购管理。召开了校服规范管理专项会议，认真落实河南省中小学校服订购流程，确保了全区中小学校服选用采购更加规范。同时加强了校服实地督导检查。</w:t>
      </w:r>
    </w:p>
    <w:p>
      <w:pPr>
        <w:ind w:firstLine="640" w:firstLineChars="200"/>
        <w:rPr>
          <w:rFonts w:ascii="楷体_GB2312" w:hAnsi="仿宋_GB2312" w:eastAsia="楷体_GB2312" w:cs="Times New Roman"/>
          <w:sz w:val="32"/>
          <w:szCs w:val="32"/>
        </w:rPr>
      </w:pPr>
      <w:r>
        <w:rPr>
          <w:rFonts w:hint="eastAsia" w:ascii="楷体_GB2312" w:hAnsi="仿宋_GB2312" w:eastAsia="楷体_GB2312" w:cs="Times New Roman"/>
          <w:sz w:val="32"/>
          <w:szCs w:val="32"/>
        </w:rPr>
        <w:t>3.作风建设、行政管理亟待加强</w:t>
      </w:r>
    </w:p>
    <w:p>
      <w:pPr>
        <w:ind w:firstLine="640" w:firstLineChars="200"/>
        <w:rPr>
          <w:rFonts w:hint="eastAsia" w:ascii="楷体_GB2312" w:hAnsi="仿宋_GB2312" w:eastAsia="楷体_GB2312" w:cs="Times New Roman"/>
          <w:sz w:val="32"/>
          <w:szCs w:val="32"/>
        </w:rPr>
      </w:pPr>
      <w:r>
        <w:rPr>
          <w:rFonts w:hint="eastAsia" w:ascii="楷体_GB2312" w:hAnsi="仿宋_GB2312" w:eastAsia="楷体_GB2312" w:cs="Times New Roman"/>
          <w:sz w:val="32"/>
          <w:szCs w:val="32"/>
        </w:rPr>
        <w:t>（20）责任督学任用、管理不规范。</w:t>
      </w:r>
    </w:p>
    <w:p>
      <w:p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一是区教育局党组于2022年12月2日、2023年1月16日两次党组会议研究了关于龙安区中小学（幼儿园）聘任责任督学的有关事项，明确了选派责任督学的范围和条件，并且明确申请担任责任督学后，不能申报高一级职称。二是建章立制，进一步完善了《龙安区责任督学管理办法》。三是开展区乡两级半年双向考核，强化结果运用，进一步激发责任督学工作效能。12月8日至12月26日，共计对15个单位开展“双向”督导考核。主要方式包括通过听取汇报、走访谈话、测评得分等环节，对责任督学履职情况进行全面评价。</w:t>
      </w:r>
    </w:p>
    <w:p>
      <w:pPr>
        <w:widowControl/>
        <w:ind w:firstLine="640" w:firstLineChars="200"/>
        <w:jc w:val="left"/>
        <w:rPr>
          <w:rFonts w:ascii="楷体_GB2312" w:hAnsi="黑体" w:eastAsia="楷体_GB2312"/>
          <w:sz w:val="32"/>
          <w:szCs w:val="32"/>
        </w:rPr>
      </w:pPr>
      <w:r>
        <w:rPr>
          <w:rFonts w:hint="eastAsia" w:ascii="楷体_GB2312" w:hAnsi="黑体" w:eastAsia="楷体_GB2312"/>
          <w:sz w:val="32"/>
          <w:szCs w:val="32"/>
        </w:rPr>
        <w:t>（21）人员配置不合理。</w:t>
      </w:r>
    </w:p>
    <w:p>
      <w:p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一是积极协调区委编办、区人社局，加大局机关招聘力度，优化工作人员年龄结构。二是下发了《关于加强全区乡镇（学区）中心校人员规范管理的通知》，通知要求，乡镇(学区）工作人员数量只减不增；要进一步明确本中心校人员职责，合理分工；所有人员必须完成规定的教学工作量，报区教育局人事股备案。</w:t>
      </w:r>
    </w:p>
    <w:p>
      <w:pPr>
        <w:widowControl/>
        <w:ind w:firstLine="640" w:firstLineChars="200"/>
        <w:jc w:val="left"/>
        <w:rPr>
          <w:rFonts w:ascii="楷体_GB2312" w:hAnsi="黑体" w:eastAsia="楷体_GB2312"/>
          <w:sz w:val="32"/>
          <w:szCs w:val="32"/>
        </w:rPr>
      </w:pPr>
      <w:r>
        <w:rPr>
          <w:rFonts w:hint="eastAsia" w:ascii="楷体_GB2312" w:hAnsi="黑体" w:eastAsia="楷体_GB2312"/>
          <w:sz w:val="32"/>
          <w:szCs w:val="32"/>
        </w:rPr>
        <w:t>（22）人员日常管理不严格，请假销假制度执行混乱。</w:t>
      </w:r>
    </w:p>
    <w:p>
      <w:p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一是利用每周二固定学习日对全局人员进行请假销假制度的培训和宣传，确保每位人员都清楚了解制度的具体要求。二是全面核查签到机录入人员与花名册不符的情况，逐一核实并调整。三是要求未在岗且未履行请销假制度的人员补充完善请假手续，并按照规定进行了处理。四是规范了借调人员的借调手续，手续齐全。五是局机关目前一天两次签到，加强了对股室的管理，提高了出勤率。</w:t>
      </w:r>
    </w:p>
    <w:p>
      <w:pPr>
        <w:widowControl/>
        <w:ind w:firstLine="640" w:firstLineChars="200"/>
        <w:jc w:val="left"/>
        <w:rPr>
          <w:rFonts w:ascii="楷体_GB2312" w:hAnsi="黑体" w:eastAsia="楷体_GB2312"/>
          <w:sz w:val="32"/>
          <w:szCs w:val="32"/>
        </w:rPr>
      </w:pPr>
      <w:r>
        <w:rPr>
          <w:rFonts w:hint="eastAsia" w:ascii="楷体_GB2312" w:hAnsi="黑体" w:eastAsia="楷体_GB2312"/>
          <w:sz w:val="32"/>
          <w:szCs w:val="32"/>
        </w:rPr>
        <w:t>（23）公车管理不规范。</w:t>
      </w:r>
    </w:p>
    <w:p>
      <w:p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一是完善公车管理制度，修订并完善了详细的公车使用、维修、加油登记和审批流程。二是详细记录完整可查，所有公车使用、维修、加油等信息都有详细记录，便于追溯和审查。</w:t>
      </w:r>
    </w:p>
    <w:p>
      <w:pPr>
        <w:widowControl/>
        <w:ind w:firstLine="640" w:firstLineChars="200"/>
        <w:jc w:val="left"/>
        <w:rPr>
          <w:rFonts w:ascii="楷体_GB2312" w:hAnsi="黑体" w:eastAsia="楷体_GB2312"/>
          <w:sz w:val="32"/>
          <w:szCs w:val="32"/>
        </w:rPr>
      </w:pPr>
      <w:r>
        <w:rPr>
          <w:rFonts w:hint="eastAsia" w:ascii="楷体_GB2312" w:hAnsi="黑体" w:eastAsia="楷体_GB2312"/>
          <w:sz w:val="32"/>
          <w:szCs w:val="32"/>
        </w:rPr>
        <w:t>（24）“三重一大”制度流于形式。</w:t>
      </w:r>
    </w:p>
    <w:p>
      <w:p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一是使用党组会组织班子成员学习“三重一大”制度的具体要求和意义。二是已完善会议记录，详细记录每个班子成员的表态内容，包括具体意见和建议。三是建立了《龙安区教育局机关调研工作制度》，使基础调研、征求意见和集体论证等工作有了明确的流程和记录。</w:t>
      </w:r>
    </w:p>
    <w:p>
      <w:pPr>
        <w:widowControl/>
        <w:ind w:firstLine="640" w:firstLineChars="200"/>
        <w:jc w:val="left"/>
        <w:rPr>
          <w:rFonts w:ascii="楷体_GB2312" w:hAnsi="黑体" w:eastAsia="楷体_GB2312"/>
          <w:sz w:val="32"/>
          <w:szCs w:val="32"/>
        </w:rPr>
      </w:pPr>
      <w:r>
        <w:rPr>
          <w:rFonts w:hint="eastAsia" w:ascii="楷体_GB2312" w:hAnsi="黑体" w:eastAsia="楷体_GB2312"/>
          <w:sz w:val="32"/>
          <w:szCs w:val="32"/>
        </w:rPr>
        <w:t>（25）纪检监督职能作用发挥不明显。</w:t>
      </w:r>
    </w:p>
    <w:p>
      <w:p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1.加强教育局纪检监察室自身建设，充实纪检监察室人员力量，2023年底，由原来的一名正式工作人员增加到两人。各乡（镇、学区）中心校、局直学校（幼儿园）明确专人负责纪检工作，局监察室加强对各单位纪检专干的管理，扎实开展各项工作。</w:t>
      </w:r>
    </w:p>
    <w:p>
      <w:pPr>
        <w:ind w:firstLine="640" w:firstLineChars="200"/>
        <w:rPr>
          <w:rFonts w:ascii="仿宋_GB2312" w:hAnsi="黑体" w:eastAsia="仿宋_GB2312"/>
          <w:sz w:val="32"/>
          <w:szCs w:val="32"/>
        </w:rPr>
      </w:pPr>
      <w:r>
        <w:rPr>
          <w:rFonts w:hint="eastAsia" w:ascii="仿宋_GB2312" w:hAnsi="黑体" w:eastAsia="仿宋_GB2312"/>
          <w:sz w:val="32"/>
          <w:szCs w:val="32"/>
        </w:rPr>
        <w:t>2.2024年3月，局纪检监察室在派驻组指导下，制作了中共安阳市龙安区教育局党组 安阳市龙安区教育局“使用谈话（询问）措施呈批表”，规范使用谈话（询问）措施程序，以利于纪检监察职能的更好发挥。</w:t>
      </w:r>
    </w:p>
    <w:p>
      <w:pPr>
        <w:ind w:firstLine="640" w:firstLineChars="200"/>
        <w:rPr>
          <w:rFonts w:ascii="仿宋_GB2312" w:hAnsi="黑体" w:eastAsia="仿宋_GB2312"/>
          <w:sz w:val="32"/>
          <w:szCs w:val="32"/>
        </w:rPr>
      </w:pPr>
      <w:r>
        <w:rPr>
          <w:rFonts w:hint="eastAsia" w:ascii="仿宋_GB2312" w:hAnsi="黑体" w:eastAsia="仿宋_GB2312"/>
          <w:sz w:val="32"/>
          <w:szCs w:val="32"/>
        </w:rPr>
        <w:t>3.积极与派驻组沟通联系，主动配合派驻组完成有关工作，形成监督合力。2024年以来，主要完成以下几项工作：</w:t>
      </w:r>
    </w:p>
    <w:p>
      <w:pPr>
        <w:ind w:firstLine="640" w:firstLineChars="200"/>
        <w:rPr>
          <w:rFonts w:ascii="仿宋_GB2312" w:hAnsi="黑体" w:eastAsia="仿宋_GB2312"/>
          <w:sz w:val="32"/>
          <w:szCs w:val="32"/>
        </w:rPr>
      </w:pPr>
      <w:r>
        <w:rPr>
          <w:rFonts w:hint="eastAsia" w:ascii="仿宋_GB2312" w:hAnsi="黑体" w:eastAsia="仿宋_GB2312"/>
          <w:sz w:val="32"/>
          <w:szCs w:val="32"/>
        </w:rPr>
        <w:t>（1）按照派驻组工作安排，填报《形式主义官僚主义重点问题清单》，并督促派驻监管五校及时上报。</w:t>
      </w:r>
    </w:p>
    <w:p>
      <w:pPr>
        <w:ind w:firstLine="640" w:firstLineChars="200"/>
        <w:rPr>
          <w:rFonts w:ascii="仿宋_GB2312" w:hAnsi="黑体" w:eastAsia="仿宋_GB2312"/>
          <w:sz w:val="32"/>
          <w:szCs w:val="32"/>
        </w:rPr>
      </w:pPr>
      <w:r>
        <w:rPr>
          <w:rFonts w:hint="eastAsia" w:ascii="仿宋_GB2312" w:hAnsi="黑体" w:eastAsia="仿宋_GB2312"/>
          <w:sz w:val="32"/>
          <w:szCs w:val="32"/>
        </w:rPr>
        <w:t>（2）2024年3月，按照区纪委和派驻区教育局纪检监察组统一工作部署，局监察室及时召开龙安区教育系统纪检工作会议，安排部署局机关全体人员和各中小学（幼儿园）中层以上领导干部580人填报“廉政档案”，并完成网上录入、审核工作。</w:t>
      </w:r>
    </w:p>
    <w:p>
      <w:pPr>
        <w:ind w:firstLine="640" w:firstLineChars="200"/>
        <w:rPr>
          <w:rFonts w:ascii="仿宋_GB2312" w:hAnsi="黑体" w:eastAsia="仿宋_GB2312"/>
          <w:sz w:val="32"/>
          <w:szCs w:val="32"/>
        </w:rPr>
      </w:pPr>
      <w:r>
        <w:rPr>
          <w:rFonts w:hint="eastAsia" w:ascii="仿宋_GB2312" w:hAnsi="黑体" w:eastAsia="仿宋_GB2312"/>
          <w:sz w:val="32"/>
          <w:szCs w:val="32"/>
        </w:rPr>
        <w:t>（3）配合派驻组做好案件调查工作，目前，4起案件正在调查中。</w:t>
      </w:r>
    </w:p>
    <w:p>
      <w:pPr>
        <w:widowControl/>
        <w:ind w:firstLine="640" w:firstLineChars="200"/>
        <w:jc w:val="left"/>
        <w:rPr>
          <w:rFonts w:ascii="楷体_GB2312" w:hAnsi="黑体" w:eastAsia="楷体_GB2312"/>
          <w:sz w:val="32"/>
          <w:szCs w:val="32"/>
        </w:rPr>
      </w:pPr>
      <w:r>
        <w:rPr>
          <w:rFonts w:hint="eastAsia" w:ascii="楷体_GB2312" w:hAnsi="黑体" w:eastAsia="楷体_GB2312"/>
          <w:sz w:val="32"/>
          <w:szCs w:val="32"/>
        </w:rPr>
        <w:t>（三）聚焦基层党组织建设情况</w:t>
      </w:r>
    </w:p>
    <w:p>
      <w:pPr>
        <w:widowControl/>
        <w:ind w:firstLine="640" w:firstLineChars="200"/>
        <w:jc w:val="left"/>
        <w:rPr>
          <w:rFonts w:ascii="楷体_GB2312" w:hAnsi="黑体" w:eastAsia="楷体_GB2312"/>
          <w:sz w:val="32"/>
          <w:szCs w:val="32"/>
        </w:rPr>
      </w:pPr>
      <w:r>
        <w:rPr>
          <w:rFonts w:hint="eastAsia" w:ascii="楷体_GB2312" w:hAnsi="黑体" w:eastAsia="楷体_GB2312"/>
          <w:sz w:val="32"/>
          <w:szCs w:val="32"/>
        </w:rPr>
        <w:t>（26）基层党组建设质效低。一是班子不健全、未按期换届；二是党建基础工作不扎实。</w:t>
      </w:r>
    </w:p>
    <w:p>
      <w:pPr>
        <w:ind w:firstLine="640" w:firstLineChars="200"/>
        <w:rPr>
          <w:rFonts w:ascii="仿宋_GB2312" w:eastAsia="仿宋_GB2312"/>
          <w:sz w:val="32"/>
          <w:szCs w:val="32"/>
        </w:rPr>
      </w:pPr>
      <w:r>
        <w:rPr>
          <w:rFonts w:hint="eastAsia" w:ascii="黑体" w:hAnsi="黑体" w:eastAsia="黑体"/>
          <w:sz w:val="32"/>
          <w:szCs w:val="32"/>
        </w:rPr>
        <w:t>整改情况：</w:t>
      </w:r>
      <w:r>
        <w:rPr>
          <w:rFonts w:hint="eastAsia" w:ascii="仿宋_GB2312" w:eastAsia="仿宋_GB2312"/>
          <w:sz w:val="32"/>
          <w:szCs w:val="32"/>
        </w:rPr>
        <w:t>针对班子不健全、未按期换届问题，组织教育系统任期届满的基层党组织开展换届选举，组织东风乡中心学校党总支等6个总支、刘家庄小学等55个学校党支部启动并完成了换届选举工作；对未到届的龙安实验中学、龙文学校等4个学校党支部设置、配备情况进行了梳理核查，实现了教育系统各基层党组织全部选优配齐配强了支部班子。针对党建基础工作不扎实问题，组织党务干部学习《中国共产党章程》《中国共产党支部工作条例（试行）》等条例规定，严格落实“三会一课”等党的组织生活制度，坚持每月召开党小组会、支部委员会会议，每季度召开支部党员大会，支部书记开展讲党课活动，着力解决“三会一课”制度走过场、党内生活不严肃、应付差事的问题。组织乡镇（学区）中心校、局直学校和民办学校党务干部开展培训36人次，明确做好会议记录和档案资料归档的相关要求，确保不再出现党建工作资料缺失、不完善等问题。</w:t>
      </w:r>
    </w:p>
    <w:p>
      <w:pPr>
        <w:numPr>
          <w:ilvl w:val="0"/>
          <w:numId w:val="3"/>
        </w:numPr>
        <w:ind w:firstLine="640" w:firstLineChars="200"/>
        <w:rPr>
          <w:rFonts w:hint="eastAsia" w:ascii="楷体_GB2312" w:hAnsi="黑体" w:eastAsia="楷体_GB2312"/>
          <w:sz w:val="32"/>
          <w:szCs w:val="32"/>
        </w:rPr>
      </w:pPr>
      <w:r>
        <w:rPr>
          <w:rFonts w:hint="eastAsia" w:ascii="楷体_GB2312" w:hAnsi="黑体" w:eastAsia="楷体_GB2312"/>
          <w:sz w:val="32"/>
          <w:szCs w:val="32"/>
        </w:rPr>
        <w:t>民主决策制度执行不认真。</w:t>
      </w:r>
    </w:p>
    <w:p>
      <w:pPr>
        <w:numPr>
          <w:ilvl w:val="0"/>
          <w:numId w:val="0"/>
        </w:num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一是组织局党组成员进行民主决策制度的深入学习，强化对末位表态制度的理解和认识。二是明确要求局党组主要负责人在会议中严格执行末位表态制度，确保决策的民主性和科学性。三是加强了会议记录管理，明确了记录要求，包括详细记录其他人员的意见发言。</w:t>
      </w:r>
    </w:p>
    <w:p>
      <w:pPr>
        <w:widowControl/>
        <w:ind w:firstLine="640" w:firstLineChars="200"/>
        <w:jc w:val="left"/>
        <w:rPr>
          <w:rFonts w:ascii="楷体_GB2312" w:hAnsi="黑体" w:eastAsia="楷体_GB2312"/>
          <w:sz w:val="32"/>
          <w:szCs w:val="32"/>
        </w:rPr>
      </w:pPr>
      <w:r>
        <w:rPr>
          <w:rFonts w:hint="eastAsia" w:ascii="楷体_GB2312" w:hAnsi="黑体" w:eastAsia="楷体_GB2312"/>
          <w:sz w:val="32"/>
          <w:szCs w:val="32"/>
        </w:rPr>
        <w:t>（28）党建带团建、队建工作安排部署不系统，档案资料不完善。</w:t>
      </w:r>
    </w:p>
    <w:p>
      <w:p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一是在教育局机关和各中小学积极开展了《关于深入贯彻落实党建带团建、队建加强少先队工作体制机制建设的意见》（中青联发〔2019〕13号）、《中共安阳市龙安区委办公室印发关于全面加强新时代少先队工作的若干措施的通知》（龙办〔2022〕8号）等党建带团建、队建相关文件的学习研讨。</w:t>
      </w:r>
    </w:p>
    <w:p>
      <w:pPr>
        <w:ind w:firstLine="640" w:firstLineChars="200"/>
        <w:rPr>
          <w:rFonts w:ascii="仿宋_GB2312" w:hAnsi="黑体" w:eastAsia="仿宋_GB2312"/>
          <w:sz w:val="32"/>
          <w:szCs w:val="32"/>
        </w:rPr>
      </w:pPr>
      <w:r>
        <w:rPr>
          <w:rFonts w:hint="eastAsia" w:ascii="仿宋_GB2312" w:hAnsi="黑体" w:eastAsia="仿宋_GB2312"/>
          <w:sz w:val="32"/>
          <w:szCs w:val="32"/>
        </w:rPr>
        <w:t>二是将团委、少先队工作纳入了各中小学党建工作总体规划，纳入中小学党建工作规范化建设考核（作为单列考核内容，分值不少于10%）和中小学教育督导评估。要求各学校党组织要定期听取团委、少先队工作汇报。</w:t>
      </w:r>
    </w:p>
    <w:p>
      <w:pPr>
        <w:ind w:firstLine="640" w:firstLineChars="200"/>
        <w:rPr>
          <w:rFonts w:ascii="仿宋_GB2312" w:hAnsi="黑体" w:eastAsia="仿宋_GB2312"/>
          <w:sz w:val="32"/>
          <w:szCs w:val="32"/>
        </w:rPr>
      </w:pPr>
      <w:r>
        <w:rPr>
          <w:rFonts w:hint="eastAsia" w:ascii="仿宋_GB2312" w:hAnsi="黑体" w:eastAsia="仿宋_GB2312"/>
          <w:sz w:val="32"/>
          <w:szCs w:val="32"/>
        </w:rPr>
        <w:t>三是进一步加强学校共青团干部协管工作，组织各中学认真学习了《共青团中央办公厅关于进一步规范和加强团干部协管工作的通知》（中青办发〔2017〕2号）等文件精神，区教育团工委根据学校团委领导班子配备的实际情况，主动向其同级党组织提出调整配备建议。</w:t>
      </w:r>
    </w:p>
    <w:p>
      <w:pPr>
        <w:ind w:firstLine="640" w:firstLineChars="200"/>
        <w:rPr>
          <w:rFonts w:ascii="仿宋_GB2312" w:hAnsi="黑体" w:eastAsia="仿宋_GB2312"/>
          <w:sz w:val="32"/>
          <w:szCs w:val="32"/>
        </w:rPr>
      </w:pPr>
      <w:r>
        <w:rPr>
          <w:rFonts w:hint="eastAsia" w:ascii="仿宋_GB2312" w:hAnsi="黑体" w:eastAsia="仿宋_GB2312"/>
          <w:sz w:val="32"/>
          <w:szCs w:val="32"/>
        </w:rPr>
        <w:t xml:space="preserve">四是积极利用开学调研等工作形式，充分了解各中小学共青团和少先队等组织建设情况，扎实推动共青团主题教育、志愿服务、三会两课、团委书记述职等各项工作深入开展。  </w:t>
      </w:r>
    </w:p>
    <w:p>
      <w:pPr>
        <w:ind w:firstLine="640" w:firstLineChars="200"/>
        <w:rPr>
          <w:rFonts w:ascii="楷体_GB2312" w:hAnsi="黑体" w:eastAsia="楷体_GB2312"/>
          <w:sz w:val="32"/>
          <w:szCs w:val="32"/>
        </w:rPr>
      </w:pPr>
      <w:r>
        <w:rPr>
          <w:rFonts w:hint="eastAsia" w:ascii="楷体_GB2312" w:hAnsi="黑体" w:eastAsia="楷体_GB2312"/>
          <w:sz w:val="32"/>
          <w:szCs w:val="32"/>
        </w:rPr>
        <w:t>（四）聚焦落实巡视巡查、审计监督整改工作情况</w:t>
      </w:r>
    </w:p>
    <w:p>
      <w:pPr>
        <w:widowControl/>
        <w:ind w:firstLine="640" w:firstLineChars="200"/>
        <w:jc w:val="left"/>
        <w:rPr>
          <w:rFonts w:ascii="楷体_GB2312" w:hAnsi="黑体" w:eastAsia="楷体_GB2312"/>
          <w:sz w:val="32"/>
          <w:szCs w:val="32"/>
        </w:rPr>
      </w:pPr>
      <w:r>
        <w:rPr>
          <w:rFonts w:hint="eastAsia" w:ascii="楷体_GB2312" w:hAnsi="黑体" w:eastAsia="楷体_GB2312"/>
          <w:sz w:val="32"/>
          <w:szCs w:val="32"/>
        </w:rPr>
        <w:t>（29）对整改工作不重视。</w:t>
      </w:r>
    </w:p>
    <w:p>
      <w:p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一是局党组扛牢整改责任，统一安排部署整改工作，成立了整改工作领导小组，明确责任分工，确保每个环节都有专人负责，并跟进落实情况。加强了会议记录的管理，详细记录整改工作的讨论和决策过程。对在整改过程中重视不够的党建办、办公室等股室进行了提醒约谈，责令相关负责人加强整改力度，确保完成。二是加强对未巡先改工作的重视。召开党组会组织学习，提高政治站位，及时贯彻落实全区巡察工作会议精神，深入了解省委巡视发现的问题，并进行举一反三。主动开展对照自查自纠工作，共13项未巡先改发现的问题开展了整改工作。</w:t>
      </w:r>
    </w:p>
    <w:p>
      <w:pPr>
        <w:widowControl/>
        <w:ind w:firstLine="640" w:firstLineChars="200"/>
        <w:jc w:val="left"/>
        <w:rPr>
          <w:rFonts w:ascii="楷体_GB2312" w:hAnsi="黑体" w:eastAsia="楷体_GB2312"/>
          <w:sz w:val="32"/>
          <w:szCs w:val="32"/>
        </w:rPr>
      </w:pPr>
      <w:r>
        <w:rPr>
          <w:rFonts w:hint="eastAsia" w:ascii="楷体_GB2312" w:hAnsi="黑体" w:eastAsia="楷体_GB2312"/>
          <w:sz w:val="32"/>
          <w:szCs w:val="32"/>
        </w:rPr>
        <w:t>（30）整改成效差。</w:t>
      </w:r>
      <w:bookmarkStart w:id="1" w:name="_GoBack"/>
      <w:bookmarkEnd w:id="1"/>
    </w:p>
    <w:p>
      <w:pPr>
        <w:ind w:firstLine="640" w:firstLineChars="200"/>
        <w:rPr>
          <w:rFonts w:ascii="仿宋_GB2312" w:hAnsi="黑体" w:eastAsia="仿宋_GB2312"/>
          <w:sz w:val="32"/>
          <w:szCs w:val="32"/>
        </w:rPr>
      </w:pPr>
      <w:r>
        <w:rPr>
          <w:rFonts w:hint="eastAsia" w:ascii="黑体" w:hAnsi="黑体" w:eastAsia="黑体"/>
          <w:sz w:val="32"/>
          <w:szCs w:val="32"/>
        </w:rPr>
        <w:t>整改情况：</w:t>
      </w:r>
      <w:r>
        <w:rPr>
          <w:rFonts w:hint="eastAsia" w:ascii="仿宋_GB2312" w:hAnsi="黑体" w:eastAsia="仿宋_GB2312"/>
          <w:sz w:val="32"/>
          <w:szCs w:val="32"/>
        </w:rPr>
        <w:t>一是建立了常态化、长效化跟踪督导落实机制，将整改工作与日常工作有机结合，确保整改成效持续巩固。二是组织开展了机关股室关于巡察整改落实的专题培训会，通过学习交流，提高学习的深度和广度；完善基层党组织建设，加强党组织的规范化管理和活动开展；增强了纪检监察力量，提高监督执纪能力，加强对违规行为的查处和问责；进一步完善了人才选拔、培养和激励机制；加强财务制度执行的监督检查，严格规范财务管理；加强项目建设管理和监管，严格规范工程建设流程。</w:t>
      </w:r>
    </w:p>
    <w:p>
      <w:pPr>
        <w:ind w:firstLine="640" w:firstLineChars="200"/>
        <w:rPr>
          <w:rFonts w:ascii="黑体" w:hAnsi="黑体" w:eastAsia="黑体"/>
          <w:sz w:val="32"/>
          <w:szCs w:val="32"/>
        </w:rPr>
      </w:pPr>
      <w:r>
        <w:rPr>
          <w:rFonts w:hint="eastAsia" w:ascii="黑体" w:hAnsi="黑体" w:eastAsia="黑体"/>
          <w:sz w:val="32"/>
          <w:szCs w:val="32"/>
        </w:rPr>
        <w:t>三、下一步打算。</w:t>
      </w:r>
    </w:p>
    <w:p>
      <w:pPr>
        <w:ind w:firstLine="640" w:firstLineChars="200"/>
        <w:rPr>
          <w:rFonts w:ascii="仿宋_GB2312" w:hAnsi="黑体" w:eastAsia="仿宋_GB2312"/>
          <w:sz w:val="32"/>
          <w:szCs w:val="32"/>
        </w:rPr>
      </w:pPr>
      <w:r>
        <w:rPr>
          <w:rFonts w:hint="eastAsia" w:ascii="仿宋_GB2312" w:hAnsi="黑体" w:eastAsia="仿宋_GB2312"/>
          <w:sz w:val="32"/>
          <w:szCs w:val="32"/>
        </w:rPr>
        <w:t>通过区委对教育局专项巡察和教育局对巡察反馈意见逐项整改，进一步加强了教育局的党风廉政建设和反腐败工作，进一步压实了“两个责任”，对教育局全体党员干部进行了一次集体警示教育，敲了警钟、打了警板，局机关干部作风有了很大的改变，工作成效有了明显提升，起到了抓早、抓小、抓预防的作用，找出了工作中存在制度不健全、检查无常态、管理不到位、执纪不坚决等问题。</w:t>
      </w:r>
    </w:p>
    <w:p>
      <w:pPr>
        <w:ind w:firstLine="640" w:firstLineChars="200"/>
        <w:rPr>
          <w:rFonts w:ascii="仿宋_GB2312" w:hAnsi="黑体" w:eastAsia="仿宋_GB2312"/>
          <w:sz w:val="32"/>
          <w:szCs w:val="32"/>
        </w:rPr>
      </w:pPr>
      <w:r>
        <w:rPr>
          <w:rFonts w:hint="eastAsia" w:ascii="仿宋_GB2312" w:hAnsi="黑体" w:eastAsia="仿宋_GB2312"/>
          <w:sz w:val="32"/>
          <w:szCs w:val="32"/>
        </w:rPr>
        <w:t>下一步，我们要继续紧盯自身的问题，坚持整改不放松，抓紧抓实抓兑现，工作中进一步增强“两个责任”，聚焦主责主业，突出问题导向，敢于顶真碰硬，增强“四个意识”，注重自身建设，注重长效管理，推动新常态，在贯彻中央“八项规定”精神上态度坚定，措施有力，坚决把纪律和规矩挺在前面，切实抓好党风廉政建设和作风效能建设，为我区教育事业发展提供坚强有力的组织保证和纪律保证。</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欢迎广大干部群众对巡察整改落实情况进行监督。如有意见和建议，请及时向我们反映。联系方式：电话0372-3393927；电子信箱laqwxcbgs@163.com。</w:t>
      </w:r>
    </w:p>
    <w:p>
      <w:pPr>
        <w:ind w:firstLine="640" w:firstLineChars="200"/>
        <w:jc w:val="right"/>
        <w:rPr>
          <w:rFonts w:hint="eastAsia" w:ascii="仿宋_GB2312" w:hAnsi="黑体" w:eastAsia="仿宋_GB2312"/>
          <w:sz w:val="32"/>
          <w:szCs w:val="32"/>
        </w:rPr>
      </w:pPr>
    </w:p>
    <w:p>
      <w:pPr>
        <w:ind w:firstLine="640" w:firstLineChars="200"/>
        <w:jc w:val="center"/>
        <w:rPr>
          <w:rFonts w:ascii="仿宋_GB2312" w:eastAsia="仿宋_GB2312"/>
          <w:sz w:val="32"/>
          <w:szCs w:val="32"/>
        </w:rPr>
      </w:pPr>
      <w:r>
        <w:rPr>
          <w:rFonts w:hint="eastAsia" w:ascii="仿宋_GB2312" w:hAnsi="黑体" w:eastAsia="仿宋_GB2312"/>
          <w:sz w:val="32"/>
          <w:szCs w:val="32"/>
          <w:lang w:val="en-US" w:eastAsia="zh-CN"/>
        </w:rPr>
        <w:t xml:space="preserve">                                </w:t>
      </w:r>
      <w:r>
        <w:rPr>
          <w:rFonts w:hint="eastAsia" w:ascii="仿宋_GB2312" w:hAnsi="黑体" w:eastAsia="仿宋_GB2312"/>
          <w:sz w:val="32"/>
          <w:szCs w:val="32"/>
        </w:rPr>
        <w:t>2024年4月15日</w:t>
      </w:r>
    </w:p>
    <w:sectPr>
      <w:footerReference r:id="rId3" w:type="default"/>
      <w:pgSz w:w="11906" w:h="16838"/>
      <w:pgMar w:top="1440" w:right="1474" w:bottom="1440"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73143818"/>
      <w:docPartObj>
        <w:docPartGallery w:val="autotext"/>
      </w:docPartObj>
    </w:sdtPr>
    <w:sdtContent>
      <w:p>
        <w:pPr>
          <w:pStyle w:val="8"/>
          <w:jc w:val="center"/>
        </w:pPr>
        <w:r>
          <w:fldChar w:fldCharType="begin"/>
        </w:r>
        <w:r>
          <w:instrText xml:space="preserve">PAGE   \* MERGEFORMAT</w:instrText>
        </w:r>
        <w:r>
          <w:fldChar w:fldCharType="separate"/>
        </w:r>
        <w:r>
          <w:rPr>
            <w:lang w:val="zh-CN"/>
          </w:rPr>
          <w:t>28</w:t>
        </w:r>
        <w:r>
          <w:fldChar w:fldCharType="end"/>
        </w:r>
      </w:p>
    </w:sdtContent>
  </w:sdt>
  <w:p>
    <w:pPr>
      <w:pStyle w:val="8"/>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F3DD10"/>
    <w:multiLevelType w:val="singleLevel"/>
    <w:tmpl w:val="88F3DD10"/>
    <w:lvl w:ilvl="0" w:tentative="0">
      <w:start w:val="27"/>
      <w:numFmt w:val="decimal"/>
      <w:suff w:val="nothing"/>
      <w:lvlText w:val="（%1）"/>
      <w:lvlJc w:val="left"/>
    </w:lvl>
  </w:abstractNum>
  <w:abstractNum w:abstractNumId="1">
    <w:nsid w:val="977C51FB"/>
    <w:multiLevelType w:val="singleLevel"/>
    <w:tmpl w:val="977C51FB"/>
    <w:lvl w:ilvl="0" w:tentative="0">
      <w:start w:val="2"/>
      <w:numFmt w:val="decimal"/>
      <w:suff w:val="nothing"/>
      <w:lvlText w:val="（%1）"/>
      <w:lvlJc w:val="left"/>
    </w:lvl>
  </w:abstractNum>
  <w:abstractNum w:abstractNumId="2">
    <w:nsid w:val="BD60B8B8"/>
    <w:multiLevelType w:val="singleLevel"/>
    <w:tmpl w:val="BD60B8B8"/>
    <w:lvl w:ilvl="0" w:tentative="0">
      <w:start w:val="8"/>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A2YjVhNzUxMTc5MTFmMjNjYWFhNTA0NTM2OTM2YTMifQ=="/>
  </w:docVars>
  <w:rsids>
    <w:rsidRoot w:val="0058116F"/>
    <w:rsid w:val="00164834"/>
    <w:rsid w:val="001A79EE"/>
    <w:rsid w:val="001C6C81"/>
    <w:rsid w:val="00205CAA"/>
    <w:rsid w:val="00227340"/>
    <w:rsid w:val="002354B5"/>
    <w:rsid w:val="0024088E"/>
    <w:rsid w:val="002C2714"/>
    <w:rsid w:val="003079A5"/>
    <w:rsid w:val="0036049A"/>
    <w:rsid w:val="00395794"/>
    <w:rsid w:val="003F7F85"/>
    <w:rsid w:val="004253EE"/>
    <w:rsid w:val="00437A35"/>
    <w:rsid w:val="00440E4C"/>
    <w:rsid w:val="004538F0"/>
    <w:rsid w:val="004571BE"/>
    <w:rsid w:val="00467E37"/>
    <w:rsid w:val="00484DB5"/>
    <w:rsid w:val="0058116F"/>
    <w:rsid w:val="005943A1"/>
    <w:rsid w:val="005A5204"/>
    <w:rsid w:val="005E200A"/>
    <w:rsid w:val="00677B43"/>
    <w:rsid w:val="007159EF"/>
    <w:rsid w:val="00727F59"/>
    <w:rsid w:val="007B5CA4"/>
    <w:rsid w:val="008014D9"/>
    <w:rsid w:val="00883CE3"/>
    <w:rsid w:val="008A18FF"/>
    <w:rsid w:val="008E6FCE"/>
    <w:rsid w:val="00913244"/>
    <w:rsid w:val="009A5662"/>
    <w:rsid w:val="009B4541"/>
    <w:rsid w:val="00AC62DD"/>
    <w:rsid w:val="00AD0949"/>
    <w:rsid w:val="00B536E4"/>
    <w:rsid w:val="00B83BCB"/>
    <w:rsid w:val="00B85FEF"/>
    <w:rsid w:val="00C5472C"/>
    <w:rsid w:val="00CB46DC"/>
    <w:rsid w:val="00D0752B"/>
    <w:rsid w:val="00D44714"/>
    <w:rsid w:val="00D67FB2"/>
    <w:rsid w:val="00DE13EB"/>
    <w:rsid w:val="00DE767E"/>
    <w:rsid w:val="00E2307D"/>
    <w:rsid w:val="00EE53E2"/>
    <w:rsid w:val="00F7352D"/>
    <w:rsid w:val="00FE2BBB"/>
    <w:rsid w:val="032A6535"/>
    <w:rsid w:val="09370F51"/>
    <w:rsid w:val="0C222CFD"/>
    <w:rsid w:val="17AA3562"/>
    <w:rsid w:val="3D9E4643"/>
    <w:rsid w:val="42945A19"/>
    <w:rsid w:val="4D773A25"/>
    <w:rsid w:val="4F9F6EF4"/>
    <w:rsid w:val="52B83AB8"/>
    <w:rsid w:val="5BA10BB6"/>
    <w:rsid w:val="5D8F31C2"/>
    <w:rsid w:val="6C861C34"/>
    <w:rsid w:val="6FF21EDF"/>
    <w:rsid w:val="72E92C0D"/>
    <w:rsid w:val="7B15366E"/>
    <w:rsid w:val="7E8151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semiHidden="0"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3">
    <w:name w:val="Default Paragraph Font"/>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w:basedOn w:val="3"/>
    <w:next w:val="4"/>
    <w:unhideWhenUsed/>
    <w:qFormat/>
    <w:uiPriority w:val="99"/>
    <w:pPr>
      <w:ind w:firstLine="420" w:firstLineChars="100"/>
    </w:pPr>
    <w:rPr>
      <w:rFonts w:ascii="Times New Roman" w:hAnsi="Times New Roman" w:cs="Times New Roman"/>
      <w:szCs w:val="24"/>
    </w:rPr>
  </w:style>
  <w:style w:type="paragraph" w:styleId="3">
    <w:name w:val="Body Text"/>
    <w:basedOn w:val="1"/>
    <w:next w:val="1"/>
    <w:qFormat/>
    <w:uiPriority w:val="0"/>
    <w:pPr>
      <w:spacing w:after="120"/>
    </w:pPr>
  </w:style>
  <w:style w:type="paragraph" w:styleId="4">
    <w:name w:val="Body Text First Indent 2"/>
    <w:basedOn w:val="5"/>
    <w:next w:val="1"/>
    <w:unhideWhenUsed/>
    <w:qFormat/>
    <w:uiPriority w:val="99"/>
    <w:pPr>
      <w:ind w:firstLine="420"/>
    </w:pPr>
    <w:rPr>
      <w:rFonts w:cs="Times New Roman"/>
    </w:rPr>
  </w:style>
  <w:style w:type="paragraph" w:styleId="5">
    <w:name w:val="Body Text Indent"/>
    <w:basedOn w:val="1"/>
    <w:next w:val="6"/>
    <w:qFormat/>
    <w:uiPriority w:val="0"/>
    <w:pPr>
      <w:spacing w:after="120" w:afterLines="0"/>
      <w:ind w:left="420" w:leftChars="200"/>
    </w:pPr>
    <w:rPr>
      <w:kern w:val="2"/>
      <w:sz w:val="21"/>
      <w:szCs w:val="24"/>
    </w:rPr>
  </w:style>
  <w:style w:type="paragraph" w:styleId="6">
    <w:name w:val="envelope return"/>
    <w:basedOn w:val="1"/>
    <w:qFormat/>
    <w:uiPriority w:val="0"/>
    <w:pPr>
      <w:snapToGrid w:val="0"/>
    </w:pPr>
    <w:rPr>
      <w:rFonts w:ascii="Arial" w:hAnsi="Arial" w:eastAsia="宋体" w:cs="Times New Roman"/>
    </w:rPr>
  </w:style>
  <w:style w:type="paragraph" w:styleId="7">
    <w:name w:val="Balloon Text"/>
    <w:basedOn w:val="1"/>
    <w:link w:val="18"/>
    <w:autoRedefine/>
    <w:semiHidden/>
    <w:unhideWhenUsed/>
    <w:qFormat/>
    <w:uiPriority w:val="99"/>
    <w:rPr>
      <w:rFonts w:ascii="Times New Roman" w:hAnsi="Times New Roman" w:eastAsia="宋体" w:cs="Times New Roman"/>
      <w:kern w:val="0"/>
      <w:sz w:val="18"/>
      <w:szCs w:val="18"/>
    </w:rPr>
  </w:style>
  <w:style w:type="paragraph" w:styleId="8">
    <w:name w:val="footer"/>
    <w:basedOn w:val="1"/>
    <w:link w:val="17"/>
    <w:autoRedefine/>
    <w:unhideWhenUsed/>
    <w:qFormat/>
    <w:uiPriority w:val="99"/>
    <w:pPr>
      <w:tabs>
        <w:tab w:val="center" w:pos="4153"/>
        <w:tab w:val="right" w:pos="8306"/>
      </w:tabs>
      <w:snapToGrid w:val="0"/>
      <w:jc w:val="left"/>
    </w:pPr>
    <w:rPr>
      <w:rFonts w:ascii="Times New Roman" w:hAnsi="Times New Roman" w:eastAsia="宋体" w:cs="Times New Roman"/>
      <w:kern w:val="0"/>
      <w:sz w:val="18"/>
      <w:szCs w:val="18"/>
    </w:rPr>
  </w:style>
  <w:style w:type="paragraph" w:styleId="9">
    <w:name w:val="header"/>
    <w:basedOn w:val="1"/>
    <w:link w:val="16"/>
    <w:autoRedefine/>
    <w:unhideWhenUsed/>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kern w:val="0"/>
      <w:sz w:val="18"/>
      <w:szCs w:val="18"/>
    </w:rPr>
  </w:style>
  <w:style w:type="paragraph" w:styleId="10">
    <w:name w:val="Normal (Web)"/>
    <w:basedOn w:val="1"/>
    <w:autoRedefine/>
    <w:qFormat/>
    <w:uiPriority w:val="0"/>
    <w:pPr>
      <w:spacing w:beforeAutospacing="1" w:afterAutospacing="1"/>
      <w:jc w:val="left"/>
    </w:pPr>
    <w:rPr>
      <w:rFonts w:cs="Times New Roman"/>
      <w:kern w:val="0"/>
      <w:sz w:val="24"/>
      <w:szCs w:val="24"/>
    </w:rPr>
  </w:style>
  <w:style w:type="table" w:styleId="12">
    <w:name w:val="Table Grid"/>
    <w:basedOn w:val="11"/>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4">
    <w:name w:val="NormalCharacter"/>
    <w:autoRedefine/>
    <w:semiHidden/>
    <w:qFormat/>
    <w:uiPriority w:val="0"/>
    <w:rPr>
      <w:kern w:val="2"/>
      <w:sz w:val="21"/>
      <w:szCs w:val="22"/>
      <w:lang w:val="en-US" w:eastAsia="zh-CN" w:bidi="ar-SA"/>
    </w:rPr>
  </w:style>
  <w:style w:type="character" w:customStyle="1" w:styleId="15">
    <w:name w:val="bjh-p"/>
    <w:autoRedefine/>
    <w:qFormat/>
    <w:uiPriority w:val="0"/>
  </w:style>
  <w:style w:type="character" w:customStyle="1" w:styleId="16">
    <w:name w:val="页眉 Char"/>
    <w:basedOn w:val="13"/>
    <w:link w:val="9"/>
    <w:autoRedefine/>
    <w:qFormat/>
    <w:uiPriority w:val="99"/>
    <w:rPr>
      <w:sz w:val="18"/>
      <w:szCs w:val="18"/>
    </w:rPr>
  </w:style>
  <w:style w:type="character" w:customStyle="1" w:styleId="17">
    <w:name w:val="页脚 Char"/>
    <w:basedOn w:val="13"/>
    <w:link w:val="8"/>
    <w:autoRedefine/>
    <w:qFormat/>
    <w:uiPriority w:val="99"/>
    <w:rPr>
      <w:sz w:val="18"/>
      <w:szCs w:val="18"/>
    </w:rPr>
  </w:style>
  <w:style w:type="character" w:customStyle="1" w:styleId="18">
    <w:name w:val="批注框文本 Char"/>
    <w:basedOn w:val="13"/>
    <w:link w:val="7"/>
    <w:autoRedefine/>
    <w:semiHidden/>
    <w:qFormat/>
    <w:uiPriority w:val="99"/>
    <w:rPr>
      <w:sz w:val="18"/>
      <w:szCs w:val="18"/>
    </w:rPr>
  </w:style>
  <w:style w:type="paragraph" w:styleId="19">
    <w:name w:val="List Paragraph"/>
    <w:basedOn w:val="1"/>
    <w:autoRedefine/>
    <w:qFormat/>
    <w:uiPriority w:val="34"/>
    <w:pPr>
      <w:ind w:firstLine="420" w:firstLineChars="200"/>
    </w:pPr>
  </w:style>
  <w:style w:type="paragraph" w:customStyle="1" w:styleId="20">
    <w:name w:val="Body text|1"/>
    <w:basedOn w:val="1"/>
    <w:autoRedefine/>
    <w:qFormat/>
    <w:uiPriority w:val="0"/>
    <w:pPr>
      <w:spacing w:line="401" w:lineRule="auto"/>
      <w:ind w:firstLine="400"/>
    </w:pPr>
    <w:rPr>
      <w:rFonts w:ascii="宋体" w:hAnsi="宋体" w:eastAsia="宋体" w:cs="宋体"/>
      <w:sz w:val="30"/>
      <w:szCs w:val="30"/>
      <w:lang w:val="zh-TW" w:eastAsia="zh-TW" w:bidi="zh-TW"/>
    </w:rPr>
  </w:style>
  <w:style w:type="paragraph" w:styleId="21">
    <w:name w:val="No Spacing"/>
    <w:qFormat/>
    <w:uiPriority w:val="0"/>
    <w:pPr>
      <w:widowControl w:val="0"/>
      <w:jc w:val="both"/>
    </w:pPr>
    <w:rPr>
      <w:rFonts w:ascii="Times New Roman" w:hAnsi="Times New Roman" w:eastAsia="宋体" w:cs="Times New Roman"/>
      <w:kern w:val="2"/>
      <w:sz w:val="21"/>
      <w:szCs w:val="21"/>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HP</Company>
  <Pages>19</Pages>
  <Words>9765</Words>
  <Characters>10066</Characters>
  <Lines>101</Lines>
  <Paragraphs>28</Paragraphs>
  <TotalTime>15</TotalTime>
  <ScaleCrop>false</ScaleCrop>
  <LinksUpToDate>false</LinksUpToDate>
  <CharactersWithSpaces>10102</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2024-04-03T08:59:00Z</dcterms:created>
  <dc:creator>ZDXX02</dc:creator>
  <cp:lastModifiedBy>Administrator</cp:lastModifiedBy>
  <cp:lastPrinted>2024-04-15T02:37:00Z</cp:lastPrinted>
  <dcterms:modified xsi:type="dcterms:W3CDTF">2024-06-28T02:56:06Z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7E986E7E7B1A4A3796FC165E53FEF007_13</vt:lpwstr>
  </property>
</Properties>
</file>